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07.10.2017 N 1231</w:t>
              <w:br/>
              <w:t xml:space="preserve">(ред. от 28.04.2025)</w:t>
              <w:br/>
              <w:t xml:space="preserve">"О публично-правовой компании "Фонд развития территорий"</w:t>
              <w:br/>
              <w:t xml:space="preserve">(вместе с "Положением о наблюдательном совете публично-правовой компании "Фонд развития территорий", "Уставом публично-правовой компании "Фонд развития территорий")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7 октября 2017 г. N 1231</w:t>
      </w:r>
    </w:p>
    <w:p>
      <w:pPr>
        <w:pStyle w:val="2"/>
        <w:jc w:val="both"/>
      </w:pPr>
      <w:r>
        <w:rPr>
          <w:sz w:val="20"/>
        </w:rPr>
      </w:r>
    </w:p>
    <w:p>
      <w:pPr>
        <w:pStyle w:val="2"/>
        <w:jc w:val="center"/>
      </w:pPr>
      <w:r>
        <w:rPr>
          <w:sz w:val="20"/>
        </w:rPr>
        <w:t xml:space="preserve">О ПУБЛИЧНО-ПРАВОВОЙ КОМПАНИИ</w:t>
      </w:r>
    </w:p>
    <w:p>
      <w:pPr>
        <w:pStyle w:val="2"/>
        <w:jc w:val="center"/>
      </w:pPr>
      <w:r>
        <w:rPr>
          <w:sz w:val="20"/>
        </w:rPr>
        <w:t xml:space="preserve">"ФОНД РАЗВИТИЯ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20.10.2020 </w:t>
            </w:r>
            <w:hyperlink w:history="0" r:id="rId7" w:tooltip="Постановление Правительства РФ от 20.10.2020 N 1711 (ред. от 13.04.2022) &quot;О внесении изменений в отдельные акты Правительства Российской Федерации и о признании утратившим силу отдельного положения постановления Правительства Российской Федерации от 27 ноября 2017 г. N 1432&quot; {КонсультантПлюс}">
              <w:r>
                <w:rPr>
                  <w:sz w:val="20"/>
                  <w:color w:val="0000ff"/>
                </w:rPr>
                <w:t xml:space="preserve">N 1711</w:t>
              </w:r>
            </w:hyperlink>
            <w:r>
              <w:rPr>
                <w:sz w:val="20"/>
                <w:color w:val="392c69"/>
              </w:rPr>
              <w:t xml:space="preserve">,</w:t>
            </w:r>
          </w:p>
          <w:p>
            <w:pPr>
              <w:pStyle w:val="0"/>
              <w:jc w:val="center"/>
            </w:pPr>
            <w:r>
              <w:rPr>
                <w:sz w:val="20"/>
                <w:color w:val="392c69"/>
              </w:rPr>
              <w:t xml:space="preserve">от 07.06.2021 </w:t>
            </w:r>
            <w:hyperlink w:history="0" r:id="rId8" w:tooltip="Постановление Правительства РФ от 07.06.2021 N 865 &quot;О внесении изменений в некоторые акты Правительства Российской Федерации&quot; {КонсультантПлюс}">
              <w:r>
                <w:rPr>
                  <w:sz w:val="20"/>
                  <w:color w:val="0000ff"/>
                </w:rPr>
                <w:t xml:space="preserve">N 865</w:t>
              </w:r>
            </w:hyperlink>
            <w:r>
              <w:rPr>
                <w:sz w:val="20"/>
                <w:color w:val="392c69"/>
              </w:rPr>
              <w:t xml:space="preserve">, от 23.08.2021 </w:t>
            </w:r>
            <w:hyperlink w:history="0" r:id="rId9" w:tooltip="Постановление Правительства РФ от 23.08.2021 N 1384 &quot;О внесении изменений в устав публично-правовой компании &quot;Фонд защиты прав граждан - участников долевого строительства&quot; {КонсультантПлюс}">
              <w:r>
                <w:rPr>
                  <w:sz w:val="20"/>
                  <w:color w:val="0000ff"/>
                </w:rPr>
                <w:t xml:space="preserve">N 1384</w:t>
              </w:r>
            </w:hyperlink>
            <w:r>
              <w:rPr>
                <w:sz w:val="20"/>
                <w:color w:val="392c69"/>
              </w:rPr>
              <w:t xml:space="preserve">, от 31.03.2022 </w:t>
            </w:r>
            <w:hyperlink w:history="0" r:id="rId10"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N 535</w:t>
              </w:r>
            </w:hyperlink>
            <w:r>
              <w:rPr>
                <w:sz w:val="20"/>
                <w:color w:val="392c69"/>
              </w:rPr>
              <w:t xml:space="preserve">,</w:t>
            </w:r>
          </w:p>
          <w:p>
            <w:pPr>
              <w:pStyle w:val="0"/>
              <w:jc w:val="center"/>
            </w:pPr>
            <w:r>
              <w:rPr>
                <w:sz w:val="20"/>
                <w:color w:val="392c69"/>
              </w:rPr>
              <w:t xml:space="preserve">от 17.09.2022 </w:t>
            </w:r>
            <w:hyperlink w:history="0" r:id="rId11" w:tooltip="Постановление Правительства РФ от 17.09.2022 N 1633 &quot;О внесении изменений в некоторые акты Правительства Российской Федерации&quot; {КонсультантПлюс}">
              <w:r>
                <w:rPr>
                  <w:sz w:val="20"/>
                  <w:color w:val="0000ff"/>
                </w:rPr>
                <w:t xml:space="preserve">N 1633</w:t>
              </w:r>
            </w:hyperlink>
            <w:r>
              <w:rPr>
                <w:sz w:val="20"/>
                <w:color w:val="392c69"/>
              </w:rPr>
              <w:t xml:space="preserve">, от 26.04.2023 </w:t>
            </w:r>
            <w:hyperlink w:history="0" r:id="rId12"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N 661</w:t>
              </w:r>
            </w:hyperlink>
            <w:r>
              <w:rPr>
                <w:sz w:val="20"/>
                <w:color w:val="392c69"/>
              </w:rPr>
              <w:t xml:space="preserve">, от 04.07.2023 </w:t>
            </w:r>
            <w:hyperlink w:history="0" r:id="rId13" w:tooltip="Постановление Правительства РФ от 04.07.2023 N 1099 (ред. от 06.03.2024) &quot;Об утверждении Правил передачи публично-правовой компанией &quot;Фонд развития территорий&quot; в аренду имущества, расположенного на территориях Донецкой Народной Республики, Луганской Народной Республики, Запорожской области и Херсонской области, и о внесении изменений в устав публично-правовой компании &quot;Фонд развития территорий&quot; {КонсультантПлюс}">
              <w:r>
                <w:rPr>
                  <w:sz w:val="20"/>
                  <w:color w:val="0000ff"/>
                </w:rPr>
                <w:t xml:space="preserve">N 1099</w:t>
              </w:r>
            </w:hyperlink>
            <w:r>
              <w:rPr>
                <w:sz w:val="20"/>
                <w:color w:val="392c69"/>
              </w:rPr>
              <w:t xml:space="preserve">,</w:t>
            </w:r>
          </w:p>
          <w:p>
            <w:pPr>
              <w:pStyle w:val="0"/>
              <w:jc w:val="center"/>
            </w:pPr>
            <w:r>
              <w:rPr>
                <w:sz w:val="20"/>
                <w:color w:val="392c69"/>
              </w:rPr>
              <w:t xml:space="preserve">от 30.05.2024 </w:t>
            </w:r>
            <w:hyperlink w:history="0" r:id="rId14" w:tooltip="Постановление Правительства РФ от 30.05.2024 N 721 &quot;О внесении изменений в некоторые акты Правительства Российской Федерации&quot; {КонсультантПлюс}">
              <w:r>
                <w:rPr>
                  <w:sz w:val="20"/>
                  <w:color w:val="0000ff"/>
                </w:rPr>
                <w:t xml:space="preserve">N 721</w:t>
              </w:r>
            </w:hyperlink>
            <w:r>
              <w:rPr>
                <w:sz w:val="20"/>
                <w:color w:val="392c69"/>
              </w:rPr>
              <w:t xml:space="preserve">, от 23.07.2024 </w:t>
            </w:r>
            <w:hyperlink w:history="0" r:id="rId15"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N 998</w:t>
              </w:r>
            </w:hyperlink>
            <w:r>
              <w:rPr>
                <w:sz w:val="20"/>
                <w:color w:val="392c69"/>
              </w:rPr>
              <w:t xml:space="preserve">, от 28.04.2025 </w:t>
            </w:r>
            <w:hyperlink w:history="0" r:id="rId16" w:tooltip="Постановление Правительства РФ от 28.04.2025 N 566 &quot;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 изменения параметров (характеристик) отобранных (одобренных) инфраструктурных проектов (мероприятий)&quot; {КонсультантПлюс}">
              <w:r>
                <w:rPr>
                  <w:sz w:val="20"/>
                  <w:color w:val="0000ff"/>
                </w:rPr>
                <w:t xml:space="preserve">N 566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(в ред. </w:t>
      </w:r>
      <w:hyperlink w:history="0" r:id="rId17"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Постановления</w:t>
        </w:r>
      </w:hyperlink>
      <w:r>
        <w:rPr>
          <w:sz w:val="20"/>
        </w:rPr>
        <w:t xml:space="preserve"> Правительства РФ от 31.03.2022 N 535)</w:t>
      </w:r>
    </w:p>
    <w:p>
      <w:pPr>
        <w:pStyle w:val="0"/>
        <w:spacing w:before="200" w:line-rule="auto"/>
        <w:ind w:firstLine="540"/>
        <w:jc w:val="both"/>
      </w:pPr>
      <w:r>
        <w:rPr>
          <w:sz w:val="20"/>
        </w:rPr>
        <w:t xml:space="preserve">1. Создать публично-правовую компанию "Фонд защиты прав граждан - участников долевого строительства" (далее - Фонд) путем преобразования некоммерческой организации "Фонд защиты прав граждан - участников долевого строительства", созданной в организационно-правовой форме фонда, учредителем которой является Российская Федерация.</w:t>
      </w:r>
    </w:p>
    <w:p>
      <w:pPr>
        <w:pStyle w:val="0"/>
        <w:spacing w:before="200" w:line-rule="auto"/>
        <w:ind w:firstLine="540"/>
        <w:jc w:val="both"/>
      </w:pPr>
      <w:r>
        <w:rPr>
          <w:sz w:val="20"/>
        </w:rPr>
        <w:t xml:space="preserve">2. Утвердить прилагаемые:</w:t>
      </w:r>
    </w:p>
    <w:p>
      <w:pPr>
        <w:pStyle w:val="0"/>
        <w:spacing w:before="200" w:line-rule="auto"/>
        <w:ind w:firstLine="540"/>
        <w:jc w:val="both"/>
      </w:pPr>
      <w:hyperlink w:history="0" w:anchor="P42" w:tooltip="ПОЛОЖЕНИЕ">
        <w:r>
          <w:rPr>
            <w:sz w:val="20"/>
            <w:color w:val="0000ff"/>
          </w:rPr>
          <w:t xml:space="preserve">Положение</w:t>
        </w:r>
      </w:hyperlink>
      <w:r>
        <w:rPr>
          <w:sz w:val="20"/>
        </w:rPr>
        <w:t xml:space="preserve"> о наблюдательном совете публично-правовой компании "Фонд развития территорий";</w:t>
      </w:r>
    </w:p>
    <w:p>
      <w:pPr>
        <w:pStyle w:val="0"/>
        <w:jc w:val="both"/>
      </w:pPr>
      <w:r>
        <w:rPr>
          <w:sz w:val="20"/>
        </w:rPr>
        <w:t xml:space="preserve">(в ред. </w:t>
      </w:r>
      <w:hyperlink w:history="0" r:id="rId18"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Постановления</w:t>
        </w:r>
      </w:hyperlink>
      <w:r>
        <w:rPr>
          <w:sz w:val="20"/>
        </w:rPr>
        <w:t xml:space="preserve"> Правительства РФ от 31.03.2022 N 535)</w:t>
      </w:r>
    </w:p>
    <w:p>
      <w:pPr>
        <w:pStyle w:val="0"/>
        <w:spacing w:before="200" w:line-rule="auto"/>
        <w:ind w:firstLine="540"/>
        <w:jc w:val="both"/>
      </w:pPr>
      <w:r>
        <w:rPr>
          <w:sz w:val="20"/>
        </w:rPr>
        <w:t xml:space="preserve">абзац утратил силу. - </w:t>
      </w:r>
      <w:hyperlink w:history="0" r:id="rId19"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Постановление</w:t>
        </w:r>
      </w:hyperlink>
      <w:r>
        <w:rPr>
          <w:sz w:val="20"/>
        </w:rPr>
        <w:t xml:space="preserve"> Правительства РФ от 31.03.2022 N 535;</w:t>
      </w:r>
    </w:p>
    <w:p>
      <w:pPr>
        <w:pStyle w:val="0"/>
        <w:spacing w:before="200" w:line-rule="auto"/>
        <w:ind w:firstLine="540"/>
        <w:jc w:val="both"/>
      </w:pPr>
      <w:hyperlink w:history="0" w:anchor="P131" w:tooltip="УСТАВ">
        <w:r>
          <w:rPr>
            <w:sz w:val="20"/>
            <w:color w:val="0000ff"/>
          </w:rPr>
          <w:t xml:space="preserve">устав</w:t>
        </w:r>
      </w:hyperlink>
      <w:r>
        <w:rPr>
          <w:sz w:val="20"/>
        </w:rPr>
        <w:t xml:space="preserve"> публично-правовой компании "Фонд развития территорий".</w:t>
      </w:r>
    </w:p>
    <w:p>
      <w:pPr>
        <w:pStyle w:val="0"/>
        <w:jc w:val="both"/>
      </w:pPr>
      <w:r>
        <w:rPr>
          <w:sz w:val="20"/>
        </w:rPr>
        <w:t xml:space="preserve">(в ред. </w:t>
      </w:r>
      <w:hyperlink w:history="0" r:id="rId20"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Постановления</w:t>
        </w:r>
      </w:hyperlink>
      <w:r>
        <w:rPr>
          <w:sz w:val="20"/>
        </w:rPr>
        <w:t xml:space="preserve"> Правительства РФ от 31.03.2022 N 535)</w:t>
      </w:r>
    </w:p>
    <w:p>
      <w:pPr>
        <w:pStyle w:val="0"/>
        <w:spacing w:before="200" w:line-rule="auto"/>
        <w:ind w:firstLine="540"/>
        <w:jc w:val="both"/>
      </w:pPr>
      <w:r>
        <w:rPr>
          <w:sz w:val="20"/>
        </w:rPr>
        <w:t xml:space="preserve">3. Министерству строительства и жилищно-коммунального хозяйства Российской Федерации, Министерству юстиции Российской Федерации совместно с Федеральной налоговой службой обеспечить до 27 октября 2017 г. государственную регистрацию Фонда и внесение в Единый государственный реестр юридических лиц записи о прекращении деятельности некоммерческой организации "Фонд защиты прав граждан - участников долевого строительства" в связи с ее реорганизацией в форме преобразования в соответствии со </w:t>
      </w:r>
      <w:hyperlink w:history="0" r:id="rId2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24</w:t>
        </w:r>
      </w:hyperlink>
      <w:r>
        <w:rPr>
          <w:sz w:val="20"/>
        </w:rP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Признать утратившим силу </w:t>
      </w:r>
      <w:hyperlink w:history="0" r:id="rId22" w:tooltip="Постановление Правительства РФ от 07.12.2016 N 1310 &quot;О защите прав граждан - участников долевого строительства&quot; (вместе с &quot;Правилами размещения и инвестирования средств фонда, который формируется за счет обязательных отчислений (взносов) застройщиков, привлекающих для строительства (создания) многоквартирных домов и (или) иных объектов недвижимости денежные средства участников долевого строительства&quot;, &quot;Правилами осуществления обязательных отчислений (взносов) застройщиков в фонд, средства которого формируют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декабря 2016 г. N 1310 "О защите прав граждан - участников долевого строительства" (Собрание законодательства Российской Федерации, 2016, N 50, ст. 7124) с даты государственной регистрации Фонда.</w:t>
      </w:r>
    </w:p>
    <w:p>
      <w:pPr>
        <w:pStyle w:val="0"/>
        <w:spacing w:before="200" w:line-rule="auto"/>
        <w:ind w:firstLine="540"/>
        <w:jc w:val="both"/>
      </w:pPr>
      <w:r>
        <w:rPr>
          <w:sz w:val="20"/>
        </w:rPr>
        <w:t xml:space="preserve">5. Настоящее постановление вступает в силу со дня его официального опубликования, за исключением положений, для которых настоящим постановлением предусмотрены иные сроки вступления в силу.</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октября 2017 г. N 1231</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Положение (в ред. от 31.03.2022 N 535) применяется с учетом положений </w:t>
            </w:r>
            <w:hyperlink w:history="0" r:id="rId2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 23</w:t>
              </w:r>
            </w:hyperlink>
            <w:r>
              <w:rPr>
                <w:sz w:val="20"/>
                <w:color w:val="392c69"/>
              </w:rPr>
              <w:t xml:space="preserve"> ФЗ от 30.12.2021 N 436-ФЗ (</w:t>
            </w:r>
            <w:hyperlink w:history="0" r:id="rId24"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Постановление</w:t>
              </w:r>
            </w:hyperlink>
            <w:r>
              <w:rPr>
                <w:sz w:val="20"/>
                <w:color w:val="392c69"/>
              </w:rPr>
              <w:t xml:space="preserve"> Правительства РФ от 31.03.2022 N 535).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 w:name="P42"/>
    <w:bookmarkEnd w:id="42"/>
    <w:p>
      <w:pPr>
        <w:pStyle w:val="2"/>
        <w:spacing w:before="260" w:line-rule="auto"/>
        <w:jc w:val="center"/>
      </w:pPr>
      <w:r>
        <w:rPr>
          <w:sz w:val="20"/>
        </w:rPr>
        <w:t xml:space="preserve">ПОЛОЖЕНИЕ</w:t>
      </w:r>
    </w:p>
    <w:p>
      <w:pPr>
        <w:pStyle w:val="2"/>
        <w:jc w:val="center"/>
      </w:pPr>
      <w:r>
        <w:rPr>
          <w:sz w:val="20"/>
        </w:rPr>
        <w:t xml:space="preserve">О НАБЛЮДАТЕЛЬНОМ СОВЕТЕ ПУБЛИЧНО-ПРАВОВОЙ КОМПАНИИ</w:t>
      </w:r>
    </w:p>
    <w:p>
      <w:pPr>
        <w:pStyle w:val="2"/>
        <w:jc w:val="center"/>
      </w:pPr>
      <w:r>
        <w:rPr>
          <w:sz w:val="20"/>
        </w:rPr>
        <w:t xml:space="preserve">"ФОНД РАЗВИТИЯ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Постановления</w:t>
              </w:r>
            </w:hyperlink>
            <w:r>
              <w:rPr>
                <w:sz w:val="20"/>
                <w:color w:val="392c69"/>
              </w:rPr>
              <w:t xml:space="preserve"> Правительства РФ от 31.03.2022 N 535)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формирования наблюдательного совета публично-правовой компании "Фонд развития территорий" (далее - Фонд), а также порядок работы и взаимодействия наблюдательного совета Фонда с другими органами Фонда.</w:t>
      </w:r>
    </w:p>
    <w:p>
      <w:pPr>
        <w:pStyle w:val="0"/>
        <w:spacing w:before="200" w:line-rule="auto"/>
        <w:ind w:firstLine="540"/>
        <w:jc w:val="both"/>
      </w:pPr>
      <w:r>
        <w:rPr>
          <w:sz w:val="20"/>
        </w:rPr>
        <w:t xml:space="preserve">2. Наблюдательный совет Фонда осуществляет контроль за деятельностью Фонда, в том числе за исполнением принимаемых органами управления Фонда решений, использованием средств Фонда, соблюдением им положений законодательства Российской Федерации и устава Фонда.</w:t>
      </w:r>
    </w:p>
    <w:p>
      <w:pPr>
        <w:pStyle w:val="0"/>
        <w:spacing w:before="200" w:line-rule="auto"/>
        <w:ind w:firstLine="540"/>
        <w:jc w:val="both"/>
      </w:pPr>
      <w:r>
        <w:rPr>
          <w:sz w:val="20"/>
        </w:rPr>
        <w:t xml:space="preserve">3. Деятельность наблюдательного совета Фонда осуществляется в соответствии с Федеральным </w:t>
      </w:r>
      <w:hyperlink w:history="0" r:id="rId26"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иными федеральными законами, уставом Фонда и настоящим Положением.</w:t>
      </w:r>
    </w:p>
    <w:p>
      <w:pPr>
        <w:pStyle w:val="0"/>
        <w:spacing w:before="200" w:line-rule="auto"/>
        <w:ind w:firstLine="540"/>
        <w:jc w:val="both"/>
      </w:pPr>
      <w:r>
        <w:rPr>
          <w:sz w:val="20"/>
        </w:rPr>
        <w:t xml:space="preserve">Наблюдательный совет Фонда осуществляет свою деятельность на общественных началах.</w:t>
      </w:r>
    </w:p>
    <w:p>
      <w:pPr>
        <w:pStyle w:val="0"/>
        <w:spacing w:before="200" w:line-rule="auto"/>
        <w:ind w:firstLine="540"/>
        <w:jc w:val="both"/>
      </w:pPr>
      <w:r>
        <w:rPr>
          <w:sz w:val="20"/>
        </w:rPr>
        <w:t xml:space="preserve">4. Полномочия наблюдательного совета Фонда, предусмотренные законодательством Российской Федерации, не могут быть переданы на рассмотрение исполнительным органам Фонда - правлению Фонда и генеральному директору Фонда.</w:t>
      </w:r>
    </w:p>
    <w:p>
      <w:pPr>
        <w:pStyle w:val="0"/>
        <w:spacing w:before="200" w:line-rule="auto"/>
        <w:ind w:firstLine="540"/>
        <w:jc w:val="both"/>
      </w:pPr>
      <w:r>
        <w:rPr>
          <w:sz w:val="20"/>
        </w:rPr>
        <w:t xml:space="preserve">5. Наблюдательный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устанавливаются наблюдательным советом Фонда.</w:t>
      </w:r>
    </w:p>
    <w:p>
      <w:pPr>
        <w:pStyle w:val="0"/>
        <w:spacing w:before="200" w:line-rule="auto"/>
        <w:ind w:firstLine="540"/>
        <w:jc w:val="both"/>
      </w:pPr>
      <w:r>
        <w:rPr>
          <w:sz w:val="20"/>
        </w:rPr>
        <w:t xml:space="preserve">6. При наблюдательном совете Фонда создается комитет по аудиту, в задачи которого входят в том числе обеспечение координации деятельности службы внутреннего аудита Фонда, рассмотрение и утверждение ее отчетов, оценка эффективности ее деятельности, предварительная проработка вопросов о назначении на должность и об освобождении от должности руководителя службы внутреннего аудита Фонда.</w:t>
      </w:r>
    </w:p>
    <w:p>
      <w:pPr>
        <w:pStyle w:val="0"/>
        <w:spacing w:before="200" w:line-rule="auto"/>
        <w:ind w:firstLine="540"/>
        <w:jc w:val="both"/>
      </w:pPr>
      <w:r>
        <w:rPr>
          <w:sz w:val="20"/>
        </w:rPr>
        <w:t xml:space="preserve">7. В состав комитетов и комиссий, создаваемых в рамках полномочий наблюдательным советом Фонда, включаются работники Фонда и внешние эксперты. Комитет или комиссию возглавляет член наблюдательного совета Фонда. Комитеты и комиссии наблюдательного совета Фонда осуществляют свою деятельность на основании положений, утверждаемых наблюдательным советом Фонда.</w:t>
      </w:r>
    </w:p>
    <w:p>
      <w:pPr>
        <w:pStyle w:val="0"/>
        <w:jc w:val="both"/>
      </w:pPr>
      <w:r>
        <w:rPr>
          <w:sz w:val="20"/>
        </w:rPr>
      </w:r>
    </w:p>
    <w:p>
      <w:pPr>
        <w:pStyle w:val="2"/>
        <w:outlineLvl w:val="1"/>
        <w:jc w:val="center"/>
      </w:pPr>
      <w:r>
        <w:rPr>
          <w:sz w:val="20"/>
        </w:rPr>
        <w:t xml:space="preserve">II. Состав наблюдательного совета Фонда</w:t>
      </w:r>
    </w:p>
    <w:p>
      <w:pPr>
        <w:pStyle w:val="0"/>
        <w:jc w:val="both"/>
      </w:pPr>
      <w:r>
        <w:rPr>
          <w:sz w:val="20"/>
        </w:rPr>
      </w:r>
    </w:p>
    <w:p>
      <w:pPr>
        <w:pStyle w:val="0"/>
        <w:ind w:firstLine="540"/>
        <w:jc w:val="both"/>
      </w:pPr>
      <w:r>
        <w:rPr>
          <w:sz w:val="20"/>
        </w:rPr>
        <w:t xml:space="preserve">8. Количественный состав наблюдательного совета Фонда не должен превышать 9 членов.</w:t>
      </w:r>
    </w:p>
    <w:p>
      <w:pPr>
        <w:pStyle w:val="0"/>
        <w:spacing w:before="200" w:line-rule="auto"/>
        <w:ind w:firstLine="540"/>
        <w:jc w:val="both"/>
      </w:pPr>
      <w:r>
        <w:rPr>
          <w:sz w:val="20"/>
        </w:rPr>
        <w:t xml:space="preserve">9. Состав наблюдательного совета Фонда, в том числе председатель наблюдательного совета Фонда, утверждается Правительством Российской Федерации по предложению Министерства строительства и жилищно-коммунального хозяйства Российской Федерации сроком на 3 года. В состав наблюдательного совета Фонда входит генеральный директор Фонда, являющийся членом наблюдательного совета Фонда по должности.</w:t>
      </w:r>
    </w:p>
    <w:p>
      <w:pPr>
        <w:pStyle w:val="0"/>
        <w:spacing w:before="200" w:line-rule="auto"/>
        <w:ind w:firstLine="540"/>
        <w:jc w:val="both"/>
      </w:pPr>
      <w:r>
        <w:rPr>
          <w:sz w:val="20"/>
        </w:rPr>
        <w:t xml:space="preserve">10. В состав наблюдательного совета Фонда могут входить лица, замещающие государственные должности, и лица, замещающие должности государственной гражданской службы.</w:t>
      </w:r>
    </w:p>
    <w:p>
      <w:pPr>
        <w:pStyle w:val="0"/>
        <w:spacing w:before="200" w:line-rule="auto"/>
        <w:ind w:firstLine="540"/>
        <w:jc w:val="both"/>
      </w:pPr>
      <w:r>
        <w:rPr>
          <w:sz w:val="20"/>
        </w:rPr>
        <w:t xml:space="preserve">11. Члены наблюдательного совета Фонда, не являющиеся лицами, замещающими государственные должности Российской Федерации, государственные должности субъектов Российской Федерации, либо лицами, замещающими должности государственной гражданской службы, осуществляют свою деятельность на основании гражданско-правового договора в соответствии с законодательством Российской Федерации. Условия такого договора определяются наблюдательным советом Фонда. Договор от имени Фонда с такими членами наблюдательного совета Фонда заключается председателем наблюдательного совета Фонда, а с председателем наблюдательного совета Фонда договор от имени Фонда заключается лицом, уполномоченным в соответствии с решением наблюдательного совета Фонда.</w:t>
      </w:r>
    </w:p>
    <w:p>
      <w:pPr>
        <w:pStyle w:val="0"/>
        <w:spacing w:before="200" w:line-rule="auto"/>
        <w:ind w:firstLine="540"/>
        <w:jc w:val="both"/>
      </w:pPr>
      <w:r>
        <w:rPr>
          <w:sz w:val="20"/>
        </w:rPr>
        <w:t xml:space="preserve">12. Члены наблюдательного совета Фонда, являющиеся лицами, замещающими государственные должности Российской Федерации, государственные должности субъектов Российской Федерации, либо лицами, замещающими должности государственной гражданской службы, осуществляют свою деятельность на основании решения Правительства Российской Федерации об утверждении состава наблюдательного совета Фонда.</w:t>
      </w:r>
    </w:p>
    <w:p>
      <w:pPr>
        <w:pStyle w:val="0"/>
        <w:spacing w:before="200" w:line-rule="auto"/>
        <w:ind w:firstLine="540"/>
        <w:jc w:val="both"/>
      </w:pPr>
      <w:r>
        <w:rPr>
          <w:sz w:val="20"/>
        </w:rPr>
        <w:t xml:space="preserve">13. Члены наблюдательного совета Фонда начинают осуществлять полномочия со дня их включения в состав наблюдательного совета Фонда.</w:t>
      </w:r>
    </w:p>
    <w:p>
      <w:pPr>
        <w:pStyle w:val="0"/>
        <w:spacing w:before="200" w:line-rule="auto"/>
        <w:ind w:firstLine="540"/>
        <w:jc w:val="both"/>
      </w:pPr>
      <w:r>
        <w:rPr>
          <w:sz w:val="20"/>
        </w:rPr>
        <w:t xml:space="preserve">14. Полномочия председателя и других членов наблюдательного совета Фонда могут быть прекращены досрочно по решению Правительства Российской Федерации.</w:t>
      </w:r>
    </w:p>
    <w:p>
      <w:pPr>
        <w:pStyle w:val="0"/>
        <w:jc w:val="both"/>
      </w:pPr>
      <w:r>
        <w:rPr>
          <w:sz w:val="20"/>
        </w:rPr>
      </w:r>
    </w:p>
    <w:p>
      <w:pPr>
        <w:pStyle w:val="2"/>
        <w:outlineLvl w:val="1"/>
        <w:jc w:val="center"/>
      </w:pPr>
      <w:r>
        <w:rPr>
          <w:sz w:val="20"/>
        </w:rPr>
        <w:t xml:space="preserve">III. Права, обязанности и ответственность членов</w:t>
      </w:r>
    </w:p>
    <w:p>
      <w:pPr>
        <w:pStyle w:val="2"/>
        <w:jc w:val="center"/>
      </w:pPr>
      <w:r>
        <w:rPr>
          <w:sz w:val="20"/>
        </w:rPr>
        <w:t xml:space="preserve">наблюдательного совета Фонда</w:t>
      </w:r>
    </w:p>
    <w:p>
      <w:pPr>
        <w:pStyle w:val="0"/>
        <w:jc w:val="both"/>
      </w:pPr>
      <w:r>
        <w:rPr>
          <w:sz w:val="20"/>
        </w:rPr>
      </w:r>
    </w:p>
    <w:p>
      <w:pPr>
        <w:pStyle w:val="0"/>
        <w:ind w:firstLine="540"/>
        <w:jc w:val="both"/>
      </w:pPr>
      <w:r>
        <w:rPr>
          <w:sz w:val="20"/>
        </w:rPr>
        <w:t xml:space="preserve">15. Члены наблюдательного совета Фонда имеют право:</w:t>
      </w:r>
    </w:p>
    <w:p>
      <w:pPr>
        <w:pStyle w:val="0"/>
        <w:spacing w:before="200" w:line-rule="auto"/>
        <w:ind w:firstLine="540"/>
        <w:jc w:val="both"/>
      </w:pPr>
      <w:r>
        <w:rPr>
          <w:sz w:val="20"/>
        </w:rPr>
        <w:t xml:space="preserve">а) получать информацию о деятельности Фонда, а также знакомиться с документами бухгалтерского учета и иными документами Фонда;</w:t>
      </w:r>
    </w:p>
    <w:p>
      <w:pPr>
        <w:pStyle w:val="0"/>
        <w:spacing w:before="200" w:line-rule="auto"/>
        <w:ind w:firstLine="540"/>
        <w:jc w:val="both"/>
      </w:pPr>
      <w:r>
        <w:rPr>
          <w:sz w:val="20"/>
        </w:rPr>
        <w:t xml:space="preserve">б) требовать возмещения лицами, указанными в </w:t>
      </w:r>
      <w:hyperlink w:history="0" r:id="rId27"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 53.1</w:t>
        </w:r>
      </w:hyperlink>
      <w:r>
        <w:rPr>
          <w:sz w:val="20"/>
        </w:rPr>
        <w:t xml:space="preserve"> Гражданского кодекса Российской Федерации, причиненных Фонду убытков;</w:t>
      </w:r>
    </w:p>
    <w:p>
      <w:pPr>
        <w:pStyle w:val="0"/>
        <w:spacing w:before="200" w:line-rule="auto"/>
        <w:ind w:firstLine="540"/>
        <w:jc w:val="both"/>
      </w:pPr>
      <w:r>
        <w:rPr>
          <w:sz w:val="20"/>
        </w:rPr>
        <w:t xml:space="preserve">в) оспаривать совершенные Фондом сделки по основаниям, предусмотренным </w:t>
      </w:r>
      <w:hyperlink w:history="0" r:id="rId28"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174</w:t>
        </w:r>
      </w:hyperlink>
      <w:r>
        <w:rPr>
          <w:sz w:val="20"/>
        </w:rPr>
        <w:t xml:space="preserve"> Гражданского кодекса Российской Федерации, требовать применения последствий их недействительности, а также применения последствий недействительности ничтожных сделок Фонда в порядке, установленном гражданским законодательством;</w:t>
      </w:r>
    </w:p>
    <w:p>
      <w:pPr>
        <w:pStyle w:val="0"/>
        <w:spacing w:before="200" w:line-rule="auto"/>
        <w:ind w:firstLine="540"/>
        <w:jc w:val="both"/>
      </w:pPr>
      <w:r>
        <w:rPr>
          <w:sz w:val="20"/>
        </w:rPr>
        <w:t xml:space="preserve">г) присутствовать на заседаниях комитетов и комиссий, созданных при наблюдательном совете Фонда.</w:t>
      </w:r>
    </w:p>
    <w:p>
      <w:pPr>
        <w:pStyle w:val="0"/>
        <w:spacing w:before="200" w:line-rule="auto"/>
        <w:ind w:firstLine="540"/>
        <w:jc w:val="both"/>
      </w:pPr>
      <w:r>
        <w:rPr>
          <w:sz w:val="20"/>
        </w:rPr>
        <w:t xml:space="preserve">16. Члены наблюдательного совета Фонда обязаны:</w:t>
      </w:r>
    </w:p>
    <w:p>
      <w:pPr>
        <w:pStyle w:val="0"/>
        <w:spacing w:before="200" w:line-rule="auto"/>
        <w:ind w:firstLine="540"/>
        <w:jc w:val="both"/>
      </w:pPr>
      <w:r>
        <w:rPr>
          <w:sz w:val="20"/>
        </w:rPr>
        <w:t xml:space="preserve">а) присутствовать на заседаниях наблюдательного совета Фонда и принимать участие в обсуждении и голосовании по вопросам, выносимым на заседания наблюдательного совета Фонда;</w:t>
      </w:r>
    </w:p>
    <w:p>
      <w:pPr>
        <w:pStyle w:val="0"/>
        <w:spacing w:before="200" w:line-rule="auto"/>
        <w:ind w:firstLine="540"/>
        <w:jc w:val="both"/>
      </w:pPr>
      <w:r>
        <w:rPr>
          <w:sz w:val="20"/>
        </w:rPr>
        <w:t xml:space="preserve">б) воздерживаться от действий, которые приведут или потенциально способны привести к возникновению конфликта между интересами членов наблюдательного совета Фонда и интересами Фонда, а в случае возникновения такого конфликта незамедлительно поставить об этом в известность председателя наблюдательного совета Фонда;</w:t>
      </w:r>
    </w:p>
    <w:p>
      <w:pPr>
        <w:pStyle w:val="0"/>
        <w:spacing w:before="200" w:line-rule="auto"/>
        <w:ind w:firstLine="540"/>
        <w:jc w:val="both"/>
      </w:pPr>
      <w:r>
        <w:rPr>
          <w:sz w:val="20"/>
        </w:rPr>
        <w:t xml:space="preserve">в) доводить до сведения наблюдательного совета Фонда и службы внутреннего аудита Фонда через секретаря наблюдательного совета Фонда информацию о юридических лицах, в которых члены наблюдательного совета Фонда владеют самостоятельно или совместно со своим аффилированным лицом (лицами) 20 и более процентами голосующих акций (долей, паев), о юридических лицах, в органах управления которых члены наблюдательного совета Фонда занимают должности, об известных им совершаемых или предполагаемых сделках, в которых члены наблюдательного совета Фонда могут быть признаны заинтересованными лицами.</w:t>
      </w:r>
    </w:p>
    <w:p>
      <w:pPr>
        <w:pStyle w:val="0"/>
        <w:spacing w:before="200" w:line-rule="auto"/>
        <w:ind w:firstLine="540"/>
        <w:jc w:val="both"/>
      </w:pPr>
      <w:r>
        <w:rPr>
          <w:sz w:val="20"/>
        </w:rPr>
        <w:t xml:space="preserve">17. Члены наблюдательного совета Фонда не вправе разглашать и использовать в личных целях или в интересах третьих лиц любые сведения, составляющие согласно законодательству Российской Федерации или внутренним документам Фонда конфиденциальную информацию о Фонде, в том числе после прекращения членства в наблюдательном совете Фонда.</w:t>
      </w:r>
    </w:p>
    <w:p>
      <w:pPr>
        <w:pStyle w:val="0"/>
        <w:spacing w:before="200" w:line-rule="auto"/>
        <w:ind w:firstLine="540"/>
        <w:jc w:val="both"/>
      </w:pPr>
      <w:r>
        <w:rPr>
          <w:sz w:val="20"/>
        </w:rPr>
        <w:t xml:space="preserve">18. Члены наблюдательного совета Фонда при осуществлении своих прав и исполнении обязанностей должны действовать в интересах Фонда и осуществлять свои права и исполнять обязанности в отношении Фонда добросовестно и разумно.</w:t>
      </w:r>
    </w:p>
    <w:p>
      <w:pPr>
        <w:pStyle w:val="0"/>
        <w:spacing w:before="200" w:line-rule="auto"/>
        <w:ind w:firstLine="540"/>
        <w:jc w:val="both"/>
      </w:pPr>
      <w:r>
        <w:rPr>
          <w:sz w:val="20"/>
        </w:rPr>
        <w:t xml:space="preserve">19. Члены наблюдательного совета Фонда в соответствии со </w:t>
      </w:r>
      <w:hyperlink w:history="0" r:id="rId29"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53.1</w:t>
        </w:r>
      </w:hyperlink>
      <w:r>
        <w:rPr>
          <w:sz w:val="20"/>
        </w:rPr>
        <w:t xml:space="preserve"> Гражданского кодекса Российской Федерации несут ответственность перед Фондом за причиненные Фонду убытки.</w:t>
      </w:r>
    </w:p>
    <w:p>
      <w:pPr>
        <w:pStyle w:val="0"/>
        <w:jc w:val="both"/>
      </w:pPr>
      <w:r>
        <w:rPr>
          <w:sz w:val="20"/>
        </w:rPr>
      </w:r>
    </w:p>
    <w:p>
      <w:pPr>
        <w:pStyle w:val="2"/>
        <w:outlineLvl w:val="1"/>
        <w:jc w:val="center"/>
      </w:pPr>
      <w:r>
        <w:rPr>
          <w:sz w:val="20"/>
        </w:rPr>
        <w:t xml:space="preserve">IV. Организация работы наблюдательного совета Фонда</w:t>
      </w:r>
    </w:p>
    <w:p>
      <w:pPr>
        <w:pStyle w:val="0"/>
        <w:jc w:val="both"/>
      </w:pPr>
      <w:r>
        <w:rPr>
          <w:sz w:val="20"/>
        </w:rPr>
      </w:r>
    </w:p>
    <w:p>
      <w:pPr>
        <w:pStyle w:val="0"/>
        <w:ind w:firstLine="540"/>
        <w:jc w:val="both"/>
      </w:pPr>
      <w:r>
        <w:rPr>
          <w:sz w:val="20"/>
        </w:rPr>
        <w:t xml:space="preserve">20. Председатель наблюдательного совета Фонда:</w:t>
      </w:r>
    </w:p>
    <w:p>
      <w:pPr>
        <w:pStyle w:val="0"/>
        <w:spacing w:before="200" w:line-rule="auto"/>
        <w:ind w:firstLine="540"/>
        <w:jc w:val="both"/>
      </w:pPr>
      <w:r>
        <w:rPr>
          <w:sz w:val="20"/>
        </w:rPr>
        <w:t xml:space="preserve">а) созывает заседания наблюдательного совета Фонда и председательствует на них;</w:t>
      </w:r>
    </w:p>
    <w:p>
      <w:pPr>
        <w:pStyle w:val="0"/>
        <w:spacing w:before="200" w:line-rule="auto"/>
        <w:ind w:firstLine="540"/>
        <w:jc w:val="both"/>
      </w:pPr>
      <w:r>
        <w:rPr>
          <w:sz w:val="20"/>
        </w:rPr>
        <w:t xml:space="preserve">б) контролирует своевременное предоставление членам наблюдательного совета Фонда информации по вопросам повестки дня заседания наблюдательного совета Фонда;</w:t>
      </w:r>
    </w:p>
    <w:p>
      <w:pPr>
        <w:pStyle w:val="0"/>
        <w:spacing w:before="200" w:line-rule="auto"/>
        <w:ind w:firstLine="540"/>
        <w:jc w:val="both"/>
      </w:pPr>
      <w:r>
        <w:rPr>
          <w:sz w:val="20"/>
        </w:rPr>
        <w:t xml:space="preserve">в) обеспечивает обсуждение вопросов, рассматриваемых на заседании, учет мнений всех членов наблюдательного совета Фонда при выработке решений, подводит итоги дискуссии и формулирует принимаемые решения;</w:t>
      </w:r>
    </w:p>
    <w:p>
      <w:pPr>
        <w:pStyle w:val="0"/>
        <w:spacing w:before="200" w:line-rule="auto"/>
        <w:ind w:firstLine="540"/>
        <w:jc w:val="both"/>
      </w:pPr>
      <w:r>
        <w:rPr>
          <w:sz w:val="20"/>
        </w:rPr>
        <w:t xml:space="preserve">г) организует на заседаниях ведение протокола;</w:t>
      </w:r>
    </w:p>
    <w:p>
      <w:pPr>
        <w:pStyle w:val="0"/>
        <w:spacing w:before="200" w:line-rule="auto"/>
        <w:ind w:firstLine="540"/>
        <w:jc w:val="both"/>
      </w:pPr>
      <w:r>
        <w:rPr>
          <w:sz w:val="20"/>
        </w:rPr>
        <w:t xml:space="preserve">д) контролирует исполнение решений, принятых наблюдательным советом Фонда;</w:t>
      </w:r>
    </w:p>
    <w:p>
      <w:pPr>
        <w:pStyle w:val="0"/>
        <w:spacing w:before="200" w:line-rule="auto"/>
        <w:ind w:firstLine="540"/>
        <w:jc w:val="both"/>
      </w:pPr>
      <w:r>
        <w:rPr>
          <w:sz w:val="20"/>
        </w:rPr>
        <w:t xml:space="preserve">е) обеспечивает эффективную работу комитетов наблюдательного совета Фонда.</w:t>
      </w:r>
    </w:p>
    <w:p>
      <w:pPr>
        <w:pStyle w:val="0"/>
        <w:spacing w:before="200" w:line-rule="auto"/>
        <w:ind w:firstLine="540"/>
        <w:jc w:val="both"/>
      </w:pPr>
      <w:r>
        <w:rPr>
          <w:sz w:val="20"/>
        </w:rPr>
        <w:t xml:space="preserve">21. Порядок работы и проведения заседаний наблюдательного совета Фонда определяется регламентом деятельности наблюдательного совета Фонда, утверждаемым наблюдательным советом Фонда.</w:t>
      </w:r>
    </w:p>
    <w:p>
      <w:pPr>
        <w:pStyle w:val="0"/>
        <w:spacing w:before="200" w:line-rule="auto"/>
        <w:ind w:firstLine="540"/>
        <w:jc w:val="both"/>
      </w:pPr>
      <w:r>
        <w:rPr>
          <w:sz w:val="20"/>
        </w:rPr>
        <w:t xml:space="preserve">22. Назначение секретаря наблюдательного совета Фонда и прекращение его полномочий осуществляются по решению наблюдательного совета Фонда по предложению председателя наблюдательного совета Фонда.</w:t>
      </w:r>
    </w:p>
    <w:p>
      <w:pPr>
        <w:pStyle w:val="0"/>
        <w:spacing w:before="200" w:line-rule="auto"/>
        <w:ind w:firstLine="540"/>
        <w:jc w:val="both"/>
      </w:pPr>
      <w:r>
        <w:rPr>
          <w:sz w:val="20"/>
        </w:rPr>
        <w:t xml:space="preserve">23. В обязанности секретаря наблюдательного совета Фонда входит организационно-техническое обеспечение деятельности наблюдательного совета Фонда.</w:t>
      </w:r>
    </w:p>
    <w:p>
      <w:pPr>
        <w:pStyle w:val="0"/>
        <w:jc w:val="both"/>
      </w:pPr>
      <w:r>
        <w:rPr>
          <w:sz w:val="20"/>
        </w:rPr>
      </w:r>
    </w:p>
    <w:p>
      <w:pPr>
        <w:pStyle w:val="2"/>
        <w:outlineLvl w:val="1"/>
        <w:jc w:val="center"/>
      </w:pPr>
      <w:r>
        <w:rPr>
          <w:sz w:val="20"/>
        </w:rPr>
        <w:t xml:space="preserve">V. Порядок принятия решений</w:t>
      </w:r>
    </w:p>
    <w:p>
      <w:pPr>
        <w:pStyle w:val="0"/>
        <w:jc w:val="both"/>
      </w:pPr>
      <w:r>
        <w:rPr>
          <w:sz w:val="20"/>
        </w:rPr>
      </w:r>
    </w:p>
    <w:p>
      <w:pPr>
        <w:pStyle w:val="0"/>
        <w:ind w:firstLine="540"/>
        <w:jc w:val="both"/>
      </w:pPr>
      <w:r>
        <w:rPr>
          <w:sz w:val="20"/>
        </w:rPr>
        <w:t xml:space="preserve">24. Каждый член наблюдательного совета Фонда обладает одним голосом. Члены наблюдательного совета Фонда не имеют права передавать свои голоса иному лицу, в том числе другому члену наблюдательного совета Фонда. При равенстве голосов голос председателя наблюдательного совета Фонда является решающим.</w:t>
      </w:r>
    </w:p>
    <w:p>
      <w:pPr>
        <w:pStyle w:val="0"/>
        <w:spacing w:before="200" w:line-rule="auto"/>
        <w:ind w:firstLine="540"/>
        <w:jc w:val="both"/>
      </w:pPr>
      <w:r>
        <w:rPr>
          <w:sz w:val="20"/>
        </w:rPr>
        <w:t xml:space="preserve">25. Заседание наблюдательного совета Фонда правомочно, если на нем присутствует более половины членов наблюдательного совета Фонда.</w:t>
      </w:r>
    </w:p>
    <w:p>
      <w:pPr>
        <w:pStyle w:val="0"/>
        <w:spacing w:before="200" w:line-rule="auto"/>
        <w:ind w:firstLine="540"/>
        <w:jc w:val="both"/>
      </w:pPr>
      <w:r>
        <w:rPr>
          <w:sz w:val="20"/>
        </w:rPr>
        <w:t xml:space="preserve">26. Решения наблюдательного совета Фонда принимаются простым большинством голосов присутствующих на заседании членов наблюдательного совета Фонда и отсутствующих членов наблюдательного совета Фонда, представивших свое мнение в письменной форме, которое подлежит приобщению к протоколу.</w:t>
      </w:r>
    </w:p>
    <w:p>
      <w:pPr>
        <w:pStyle w:val="0"/>
        <w:spacing w:before="200" w:line-rule="auto"/>
        <w:ind w:firstLine="540"/>
        <w:jc w:val="both"/>
      </w:pPr>
      <w:r>
        <w:rPr>
          <w:sz w:val="20"/>
        </w:rPr>
        <w:t xml:space="preserve">27. Решение об одобрении сделки, в совершении которой имеется заинтересованность членов наблюдательного совета Фонда, принимается наблюдательным советом Фонда большинством голосов всех не заинтересованных в сделке членов наблюдательного совета Фонда.</w:t>
      </w:r>
    </w:p>
    <w:p>
      <w:pPr>
        <w:pStyle w:val="0"/>
        <w:spacing w:before="200" w:line-rule="auto"/>
        <w:ind w:firstLine="540"/>
        <w:jc w:val="both"/>
      </w:pPr>
      <w:r>
        <w:rPr>
          <w:sz w:val="20"/>
        </w:rPr>
        <w:t xml:space="preserve">28. Решение наблюдательного совета Фонда вступает в силу со дня проведения заседания, если иное не предусмотрено решением наблюдательного совета Фонда.</w:t>
      </w:r>
    </w:p>
    <w:p>
      <w:pPr>
        <w:pStyle w:val="0"/>
        <w:spacing w:before="200" w:line-rule="auto"/>
        <w:ind w:firstLine="540"/>
        <w:jc w:val="both"/>
      </w:pPr>
      <w:r>
        <w:rPr>
          <w:sz w:val="20"/>
        </w:rPr>
        <w:t xml:space="preserve">29. Наблюдательный совет Фонда может принимать решения путем проведения заочного голосования.</w:t>
      </w:r>
    </w:p>
    <w:p>
      <w:pPr>
        <w:pStyle w:val="0"/>
        <w:spacing w:before="200" w:line-rule="auto"/>
        <w:ind w:firstLine="540"/>
        <w:jc w:val="both"/>
      </w:pPr>
      <w:r>
        <w:rPr>
          <w:sz w:val="20"/>
        </w:rPr>
        <w:t xml:space="preserve">30. Решение о проведении заочного голосования принимается председателем наблюдательного совета Фонда по собственной инициативе или по инициативе не менее чем одной трети членов наблюдательного совета Фонда. Заочное голосование осуществляется посредством заполнения членами наблюдательного совета Фонда опросных листов. Порядок проведения заочного голосования определяется регламентом деятельности наблюдательного совета Фонда, утверждаемым наблюдательным советом Фонда.</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октября 2017 г. N 1231</w:t>
      </w:r>
    </w:p>
    <w:p>
      <w:pPr>
        <w:pStyle w:val="0"/>
        <w:jc w:val="both"/>
      </w:pPr>
      <w:r>
        <w:rPr>
          <w:sz w:val="20"/>
        </w:rPr>
      </w:r>
    </w:p>
    <w:p>
      <w:pPr>
        <w:pStyle w:val="2"/>
        <w:jc w:val="center"/>
      </w:pPr>
      <w:r>
        <w:rPr>
          <w:sz w:val="20"/>
        </w:rPr>
        <w:t xml:space="preserve">ПРАВИЛА</w:t>
      </w:r>
    </w:p>
    <w:p>
      <w:pPr>
        <w:pStyle w:val="2"/>
        <w:jc w:val="center"/>
      </w:pPr>
      <w:r>
        <w:rPr>
          <w:sz w:val="20"/>
        </w:rPr>
        <w:t xml:space="preserve">НАЗНАЧЕНИЯ ГЕНЕРАЛЬНОГО ДИРЕКТОРА ПУБЛИЧНО-ПРАВОВОЙ</w:t>
      </w:r>
    </w:p>
    <w:p>
      <w:pPr>
        <w:pStyle w:val="2"/>
        <w:jc w:val="center"/>
      </w:pPr>
      <w:r>
        <w:rPr>
          <w:sz w:val="20"/>
        </w:rPr>
        <w:t xml:space="preserve">КОМПАНИИ "ФОНД ЗАЩИТЫ ПРАВ ГРАЖДАН - УЧАСТНИКОВ</w:t>
      </w:r>
    </w:p>
    <w:p>
      <w:pPr>
        <w:pStyle w:val="2"/>
        <w:jc w:val="center"/>
      </w:pPr>
      <w:r>
        <w:rPr>
          <w:sz w:val="20"/>
        </w:rPr>
        <w:t xml:space="preserve">ДОЛЕВОГО СТРОИТЕЛЬСТВА"</w:t>
      </w:r>
    </w:p>
    <w:p>
      <w:pPr>
        <w:pStyle w:val="0"/>
        <w:jc w:val="both"/>
      </w:pPr>
      <w:r>
        <w:rPr>
          <w:sz w:val="20"/>
        </w:rPr>
      </w:r>
    </w:p>
    <w:p>
      <w:pPr>
        <w:pStyle w:val="0"/>
        <w:ind w:firstLine="540"/>
        <w:jc w:val="both"/>
      </w:pPr>
      <w:r>
        <w:rPr>
          <w:sz w:val="20"/>
        </w:rPr>
        <w:t xml:space="preserve">Утратили силу. - </w:t>
      </w:r>
      <w:hyperlink w:history="0" r:id="rId30"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Постановление</w:t>
        </w:r>
      </w:hyperlink>
      <w:r>
        <w:rPr>
          <w:sz w:val="20"/>
        </w:rPr>
        <w:t xml:space="preserve"> Правительства РФ от 31.03.2022 N 535.</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октября 2017 г. N 1231</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Устав (в ред. от 31.03.2022 N 535) применяется с учетом положений </w:t>
            </w:r>
            <w:hyperlink w:history="0" r:id="rId3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 23</w:t>
              </w:r>
            </w:hyperlink>
            <w:r>
              <w:rPr>
                <w:sz w:val="20"/>
                <w:color w:val="392c69"/>
              </w:rPr>
              <w:t xml:space="preserve"> ФЗ от 30.12.2021 N 436-ФЗ (</w:t>
            </w:r>
            <w:hyperlink w:history="0" r:id="rId32"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Постановление</w:t>
              </w:r>
            </w:hyperlink>
            <w:r>
              <w:rPr>
                <w:sz w:val="20"/>
                <w:color w:val="392c69"/>
              </w:rPr>
              <w:t xml:space="preserve"> Правительства РФ от 31.03.2022 N 535).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 w:name="P131"/>
    <w:bookmarkEnd w:id="131"/>
    <w:p>
      <w:pPr>
        <w:pStyle w:val="2"/>
        <w:spacing w:before="260" w:line-rule="auto"/>
        <w:jc w:val="center"/>
      </w:pPr>
      <w:r>
        <w:rPr>
          <w:sz w:val="20"/>
        </w:rPr>
        <w:t xml:space="preserve">УСТАВ</w:t>
      </w:r>
    </w:p>
    <w:p>
      <w:pPr>
        <w:pStyle w:val="2"/>
        <w:jc w:val="center"/>
      </w:pPr>
      <w:r>
        <w:rPr>
          <w:sz w:val="20"/>
        </w:rPr>
        <w:t xml:space="preserve">ПУБЛИЧНО-ПРАВОВОЙ КОМПАНИИ "ФОНД РАЗВИТИЯ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31.03.2022 </w:t>
            </w:r>
            <w:hyperlink w:history="0" r:id="rId33" w:tooltip="Постановление Правительства РФ от 31.03.2022 N 535 &quot;О внесении изменений в постановление Правительства Российской Федерации от 7 октября 2017 г. N 1231&quot; {КонсультантПлюс}">
              <w:r>
                <w:rPr>
                  <w:sz w:val="20"/>
                  <w:color w:val="0000ff"/>
                </w:rPr>
                <w:t xml:space="preserve">N 535</w:t>
              </w:r>
            </w:hyperlink>
            <w:r>
              <w:rPr>
                <w:sz w:val="20"/>
                <w:color w:val="392c69"/>
              </w:rPr>
              <w:t xml:space="preserve">,</w:t>
            </w:r>
          </w:p>
          <w:p>
            <w:pPr>
              <w:pStyle w:val="0"/>
              <w:jc w:val="center"/>
            </w:pPr>
            <w:r>
              <w:rPr>
                <w:sz w:val="20"/>
                <w:color w:val="392c69"/>
              </w:rPr>
              <w:t xml:space="preserve">от 17.09.2022 </w:t>
            </w:r>
            <w:hyperlink w:history="0" r:id="rId34" w:tooltip="Постановление Правительства РФ от 17.09.2022 N 1633 &quot;О внесении изменений в некоторые акты Правительства Российской Федерации&quot; {КонсультантПлюс}">
              <w:r>
                <w:rPr>
                  <w:sz w:val="20"/>
                  <w:color w:val="0000ff"/>
                </w:rPr>
                <w:t xml:space="preserve">N 1633</w:t>
              </w:r>
            </w:hyperlink>
            <w:r>
              <w:rPr>
                <w:sz w:val="20"/>
                <w:color w:val="392c69"/>
              </w:rPr>
              <w:t xml:space="preserve">, от 26.04.2023 </w:t>
            </w:r>
            <w:hyperlink w:history="0" r:id="rId35"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N 661</w:t>
              </w:r>
            </w:hyperlink>
            <w:r>
              <w:rPr>
                <w:sz w:val="20"/>
                <w:color w:val="392c69"/>
              </w:rPr>
              <w:t xml:space="preserve">, от 04.07.2023 </w:t>
            </w:r>
            <w:hyperlink w:history="0" r:id="rId36" w:tooltip="Постановление Правительства РФ от 04.07.2023 N 1099 (ред. от 06.03.2024) &quot;Об утверждении Правил передачи публично-правовой компанией &quot;Фонд развития территорий&quot; в аренду имущества, расположенного на территориях Донецкой Народной Республики, Луганской Народной Республики, Запорожской области и Херсонской области, и о внесении изменений в устав публично-правовой компании &quot;Фонд развития территорий&quot; {КонсультантПлюс}">
              <w:r>
                <w:rPr>
                  <w:sz w:val="20"/>
                  <w:color w:val="0000ff"/>
                </w:rPr>
                <w:t xml:space="preserve">N 1099</w:t>
              </w:r>
            </w:hyperlink>
            <w:r>
              <w:rPr>
                <w:sz w:val="20"/>
                <w:color w:val="392c69"/>
              </w:rPr>
              <w:t xml:space="preserve">,</w:t>
            </w:r>
          </w:p>
          <w:p>
            <w:pPr>
              <w:pStyle w:val="0"/>
              <w:jc w:val="center"/>
            </w:pPr>
            <w:r>
              <w:rPr>
                <w:sz w:val="20"/>
                <w:color w:val="392c69"/>
              </w:rPr>
              <w:t xml:space="preserve">от 30.05.2024 </w:t>
            </w:r>
            <w:hyperlink w:history="0" r:id="rId37" w:tooltip="Постановление Правительства РФ от 30.05.2024 N 721 &quot;О внесении изменений в некоторые акты Правительства Российской Федерации&quot; {КонсультантПлюс}">
              <w:r>
                <w:rPr>
                  <w:sz w:val="20"/>
                  <w:color w:val="0000ff"/>
                </w:rPr>
                <w:t xml:space="preserve">N 721</w:t>
              </w:r>
            </w:hyperlink>
            <w:r>
              <w:rPr>
                <w:sz w:val="20"/>
                <w:color w:val="392c69"/>
              </w:rPr>
              <w:t xml:space="preserve">, от 23.07.2024 </w:t>
            </w:r>
            <w:hyperlink w:history="0" r:id="rId38"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N 998</w:t>
              </w:r>
            </w:hyperlink>
            <w:r>
              <w:rPr>
                <w:sz w:val="20"/>
                <w:color w:val="392c69"/>
              </w:rPr>
              <w:t xml:space="preserve">, от 28.04.2025 </w:t>
            </w:r>
            <w:hyperlink w:history="0" r:id="rId39" w:tooltip="Постановление Правительства РФ от 28.04.2025 N 566 &quot;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 изменения параметров (характеристик) отобранных (одобренных) инфраструктурных проектов (мероприятий)&quot; {КонсультантПлюс}">
              <w:r>
                <w:rPr>
                  <w:sz w:val="20"/>
                  <w:color w:val="0000ff"/>
                </w:rPr>
                <w:t xml:space="preserve">N 566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Публично-правовая компания "Фонд развития территорий" (далее - Фонд) создана в соответствии с Федеральным </w:t>
      </w:r>
      <w:hyperlink w:history="0" r:id="rId4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Полное наименование Фонда - публично-правовая компания "Фонд развития территорий".</w:t>
      </w:r>
    </w:p>
    <w:p>
      <w:pPr>
        <w:pStyle w:val="0"/>
        <w:spacing w:before="200" w:line-rule="auto"/>
        <w:ind w:firstLine="540"/>
        <w:jc w:val="both"/>
      </w:pPr>
      <w:r>
        <w:rPr>
          <w:sz w:val="20"/>
        </w:rPr>
        <w:t xml:space="preserve">3. Сокращенное наименование Фонда - ППК "Фонд развития территорий".</w:t>
      </w:r>
    </w:p>
    <w:p>
      <w:pPr>
        <w:pStyle w:val="0"/>
        <w:spacing w:before="200" w:line-rule="auto"/>
        <w:ind w:firstLine="540"/>
        <w:jc w:val="both"/>
      </w:pPr>
      <w:r>
        <w:rPr>
          <w:sz w:val="20"/>
        </w:rPr>
        <w:t xml:space="preserve">4. Местом нахождения Фонда является г. Москва.</w:t>
      </w:r>
    </w:p>
    <w:p>
      <w:pPr>
        <w:pStyle w:val="0"/>
        <w:spacing w:before="200" w:line-rule="auto"/>
        <w:ind w:firstLine="540"/>
        <w:jc w:val="both"/>
      </w:pPr>
      <w:r>
        <w:rPr>
          <w:sz w:val="20"/>
        </w:rPr>
        <w:t xml:space="preserve">5. Фонд имеет счета в Центральном банке Российской Федерации и лицевые счета в органах Федерального казначейства. Фонд вправе в установленном порядке открывать счета в кредитных организациях на территории Российской Федерации и за ее пределами, в том числе расчетный, валютный и другие банковские счета.</w:t>
      </w:r>
    </w:p>
    <w:p>
      <w:pPr>
        <w:pStyle w:val="0"/>
        <w:spacing w:before="200" w:line-rule="auto"/>
        <w:ind w:firstLine="540"/>
        <w:jc w:val="both"/>
      </w:pPr>
      <w:r>
        <w:rPr>
          <w:sz w:val="20"/>
        </w:rPr>
        <w:t xml:space="preserve">6. Фонд создан без ограничения срока его деятельности.</w:t>
      </w:r>
    </w:p>
    <w:p>
      <w:pPr>
        <w:pStyle w:val="0"/>
        <w:spacing w:before="200" w:line-rule="auto"/>
        <w:ind w:firstLine="540"/>
        <w:jc w:val="both"/>
      </w:pPr>
      <w:r>
        <w:rPr>
          <w:sz w:val="20"/>
        </w:rPr>
        <w:t xml:space="preserve">7. Учредителем Фонда является Российская Федерация. Функции и полномочия учредителя Фонда от имени Российской Федерации осуществляет Министерство строительства и жилищно-коммунального хозяйства Российской Федерации.</w:t>
      </w:r>
    </w:p>
    <w:p>
      <w:pPr>
        <w:pStyle w:val="0"/>
        <w:spacing w:before="200" w:line-rule="auto"/>
        <w:ind w:firstLine="540"/>
        <w:jc w:val="both"/>
      </w:pPr>
      <w:r>
        <w:rPr>
          <w:sz w:val="20"/>
        </w:rPr>
        <w:t xml:space="preserve">8. Фонд может быть истцом и ответчиком в судах, от своего имени приобретать и осуществлять имущественные и неимущественные права в соответствии с целями деятельности Фонда, предусмотренными Федеральным </w:t>
      </w:r>
      <w:hyperlink w:history="0" r:id="rId4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и настоящим уставом, и нести связанные с этой деятельностью обязанности.</w:t>
      </w:r>
    </w:p>
    <w:p>
      <w:pPr>
        <w:pStyle w:val="0"/>
        <w:spacing w:before="200" w:line-rule="auto"/>
        <w:ind w:firstLine="540"/>
        <w:jc w:val="both"/>
      </w:pPr>
      <w:r>
        <w:rPr>
          <w:sz w:val="20"/>
        </w:rPr>
        <w:t xml:space="preserve">9. Фонд имеет круглую печать с изображением Государственного герба Российской Федерации и полным наименованием Фонда на русском языке, а также штампы и бланки со своим наименованием.</w:t>
      </w:r>
    </w:p>
    <w:p>
      <w:pPr>
        <w:pStyle w:val="0"/>
        <w:spacing w:before="200" w:line-rule="auto"/>
        <w:ind w:firstLine="540"/>
        <w:jc w:val="both"/>
      </w:pPr>
      <w:r>
        <w:rPr>
          <w:sz w:val="20"/>
        </w:rPr>
        <w:t xml:space="preserve">10. Российская Федерация не отвечает по обязательствам Фонда, а Фонд не отвечает по обязательствам Российской Федерации.</w:t>
      </w:r>
    </w:p>
    <w:p>
      <w:pPr>
        <w:pStyle w:val="0"/>
        <w:spacing w:before="200" w:line-rule="auto"/>
        <w:ind w:firstLine="540"/>
        <w:jc w:val="both"/>
      </w:pPr>
      <w:r>
        <w:rPr>
          <w:sz w:val="20"/>
        </w:rPr>
        <w:t xml:space="preserve">11. Фонд отвечает по своим обязательствам всем своим имуществом, за исключением имущества, на которое не может быть обращено взыскание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12. Фонд вправе формировать резервный фонд и иные целевые фонды.</w:t>
      </w:r>
    </w:p>
    <w:p>
      <w:pPr>
        <w:pStyle w:val="0"/>
        <w:spacing w:before="200" w:line-rule="auto"/>
        <w:ind w:firstLine="540"/>
        <w:jc w:val="both"/>
      </w:pPr>
      <w:r>
        <w:rPr>
          <w:sz w:val="20"/>
        </w:rPr>
        <w:t xml:space="preserve">13. Фонд имеет право создавать филиалы и открывать представительства.</w:t>
      </w:r>
    </w:p>
    <w:p>
      <w:pPr>
        <w:pStyle w:val="0"/>
        <w:jc w:val="both"/>
      </w:pPr>
      <w:r>
        <w:rPr>
          <w:sz w:val="20"/>
        </w:rPr>
      </w:r>
    </w:p>
    <w:p>
      <w:pPr>
        <w:pStyle w:val="2"/>
        <w:outlineLvl w:val="1"/>
        <w:jc w:val="center"/>
      </w:pPr>
      <w:r>
        <w:rPr>
          <w:sz w:val="20"/>
        </w:rPr>
        <w:t xml:space="preserve">II. Предмет и цели деятельности, функции, полномочия</w:t>
      </w:r>
    </w:p>
    <w:p>
      <w:pPr>
        <w:pStyle w:val="2"/>
        <w:jc w:val="center"/>
      </w:pPr>
      <w:r>
        <w:rPr>
          <w:sz w:val="20"/>
        </w:rPr>
        <w:t xml:space="preserve">и деятельность Фонда</w:t>
      </w:r>
    </w:p>
    <w:p>
      <w:pPr>
        <w:pStyle w:val="0"/>
        <w:jc w:val="both"/>
      </w:pPr>
      <w:r>
        <w:rPr>
          <w:sz w:val="20"/>
        </w:rPr>
      </w:r>
    </w:p>
    <w:p>
      <w:pPr>
        <w:pStyle w:val="0"/>
        <w:ind w:firstLine="540"/>
        <w:jc w:val="both"/>
      </w:pPr>
      <w:r>
        <w:rPr>
          <w:sz w:val="20"/>
        </w:rPr>
        <w:t xml:space="preserve">14. Предметом деятельности Фонда является осуществление функций и полномочий публично-правового характера, предусмотренных Федеральным </w:t>
      </w:r>
      <w:hyperlink w:history="0" r:id="rId4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другими федеральными законами, а также принимаемыми в соответствии с ними нормативными правовыми актами Правительства Российской Федерации.</w:t>
      </w:r>
    </w:p>
    <w:p>
      <w:pPr>
        <w:pStyle w:val="0"/>
        <w:spacing w:before="200" w:line-rule="auto"/>
        <w:ind w:firstLine="540"/>
        <w:jc w:val="both"/>
      </w:pPr>
      <w:r>
        <w:rPr>
          <w:sz w:val="20"/>
        </w:rPr>
        <w:t xml:space="preserve">15. К целям деятельности Фонда относятся:</w:t>
      </w:r>
    </w:p>
    <w:p>
      <w:pPr>
        <w:pStyle w:val="0"/>
        <w:spacing w:before="200" w:line-rule="auto"/>
        <w:ind w:firstLine="540"/>
        <w:jc w:val="both"/>
      </w:pPr>
      <w:r>
        <w:rPr>
          <w:sz w:val="20"/>
        </w:rPr>
        <w:t xml:space="preserve">1) создание безопасных и благоприятных условий проживания граждан;</w:t>
      </w:r>
    </w:p>
    <w:p>
      <w:pPr>
        <w:pStyle w:val="0"/>
        <w:spacing w:before="200" w:line-rule="auto"/>
        <w:ind w:firstLine="540"/>
        <w:jc w:val="both"/>
      </w:pPr>
      <w:r>
        <w:rPr>
          <w:sz w:val="20"/>
        </w:rPr>
        <w:t xml:space="preserve">2) содействие модернизации жилищно-коммунального хозяйства, формированию эффективных механизмов управления жилищным фондом, внедрению ресурсосберегающих технологий;</w:t>
      </w:r>
    </w:p>
    <w:p>
      <w:pPr>
        <w:pStyle w:val="0"/>
        <w:spacing w:before="200" w:line-rule="auto"/>
        <w:ind w:firstLine="540"/>
        <w:jc w:val="both"/>
      </w:pPr>
      <w:r>
        <w:rPr>
          <w:sz w:val="20"/>
        </w:rPr>
        <w:t xml:space="preserve">3) обеспечение сокращения непригодного для проживания жилищного фонда;</w:t>
      </w:r>
    </w:p>
    <w:p>
      <w:pPr>
        <w:pStyle w:val="0"/>
        <w:spacing w:before="200" w:line-rule="auto"/>
        <w:ind w:firstLine="540"/>
        <w:jc w:val="both"/>
      </w:pPr>
      <w:r>
        <w:rPr>
          <w:sz w:val="20"/>
        </w:rPr>
        <w:t xml:space="preserve">4) содействие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членов жилищно-строительных кооперативов, имеющих требования о передаче жилых помещений, машино-мест, нежилых помещений;</w:t>
      </w:r>
    </w:p>
    <w:p>
      <w:pPr>
        <w:pStyle w:val="0"/>
        <w:spacing w:before="200" w:line-rule="auto"/>
        <w:ind w:firstLine="540"/>
        <w:jc w:val="both"/>
      </w:pPr>
      <w:r>
        <w:rPr>
          <w:sz w:val="20"/>
        </w:rPr>
        <w:t xml:space="preserve">4(1)) содействие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Федеральным </w:t>
      </w:r>
      <w:hyperlink w:history="0" r:id="rId43"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другими федеральными законами, нормативными правовыми актами Правительства Российской Федерации;</w:t>
      </w:r>
    </w:p>
    <w:p>
      <w:pPr>
        <w:pStyle w:val="0"/>
        <w:jc w:val="both"/>
      </w:pPr>
      <w:r>
        <w:rPr>
          <w:sz w:val="20"/>
        </w:rPr>
        <w:t xml:space="preserve">(пп. 4(1) введен </w:t>
      </w:r>
      <w:hyperlink w:history="0" r:id="rId44"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Постановлением</w:t>
        </w:r>
      </w:hyperlink>
      <w:r>
        <w:rPr>
          <w:sz w:val="20"/>
        </w:rPr>
        <w:t xml:space="preserve"> Правительства РФ от 23.07.2024 N 998)</w:t>
      </w:r>
    </w:p>
    <w:p>
      <w:pPr>
        <w:pStyle w:val="0"/>
        <w:spacing w:before="200" w:line-rule="auto"/>
        <w:ind w:firstLine="540"/>
        <w:jc w:val="both"/>
      </w:pPr>
      <w:r>
        <w:rPr>
          <w:sz w:val="20"/>
        </w:rPr>
        <w:t xml:space="preserve">5) иные определенные Правительством Российской Федерации цели, связанные с обеспечением устойчивого развития территорий, созданием комфортных и благоприятных условий проживания граждан, защитой прав и законных интересов граждан - участников строительства.</w:t>
      </w:r>
    </w:p>
    <w:p>
      <w:pPr>
        <w:pStyle w:val="0"/>
        <w:spacing w:before="200" w:line-rule="auto"/>
        <w:ind w:firstLine="540"/>
        <w:jc w:val="both"/>
      </w:pPr>
      <w:r>
        <w:rPr>
          <w:sz w:val="20"/>
        </w:rPr>
        <w:t xml:space="preserve">16. Фонд для достижения целей своей деятельности осуществляет следующие функции и полномочия:</w:t>
      </w:r>
    </w:p>
    <w:p>
      <w:pPr>
        <w:pStyle w:val="0"/>
        <w:spacing w:before="200" w:line-rule="auto"/>
        <w:ind w:firstLine="540"/>
        <w:jc w:val="both"/>
      </w:pPr>
      <w:r>
        <w:rPr>
          <w:sz w:val="20"/>
        </w:rPr>
        <w:t xml:space="preserve">1) функции и полномочия, связанные с защитой прав и законных интересов граждан - участников строительства;</w:t>
      </w:r>
    </w:p>
    <w:p>
      <w:pPr>
        <w:pStyle w:val="0"/>
        <w:spacing w:before="200" w:line-rule="auto"/>
        <w:ind w:firstLine="540"/>
        <w:jc w:val="both"/>
      </w:pPr>
      <w:r>
        <w:rPr>
          <w:sz w:val="20"/>
        </w:rPr>
        <w:t xml:space="preserve">2) функции и полномочия, связанные с содействием модернизации жилищно-коммунального хозяйства и обеспечением сокращения непригодного для проживания жилищного фонда;</w:t>
      </w:r>
    </w:p>
    <w:p>
      <w:pPr>
        <w:pStyle w:val="0"/>
        <w:spacing w:before="200" w:line-rule="auto"/>
        <w:ind w:firstLine="540"/>
        <w:jc w:val="both"/>
      </w:pPr>
      <w:r>
        <w:rPr>
          <w:sz w:val="20"/>
        </w:rPr>
        <w:t xml:space="preserve">3) функции и полномочия, связанные с содействием в обеспечении устойчивого развития территорий и создании комфортных и благоприятных условий проживания граждан;</w:t>
      </w:r>
    </w:p>
    <w:p>
      <w:pPr>
        <w:pStyle w:val="0"/>
        <w:spacing w:before="200" w:line-rule="auto"/>
        <w:ind w:firstLine="540"/>
        <w:jc w:val="both"/>
      </w:pPr>
      <w:r>
        <w:rPr>
          <w:sz w:val="20"/>
        </w:rPr>
        <w:t xml:space="preserve">3(1)) функции и полномочия, связанные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Федеральным </w:t>
      </w:r>
      <w:hyperlink w:history="0" r:id="rId4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другими федеральными законами, нормативными правовыми актами Правительства Российской Федерации;</w:t>
      </w:r>
    </w:p>
    <w:p>
      <w:pPr>
        <w:pStyle w:val="0"/>
        <w:jc w:val="both"/>
      </w:pPr>
      <w:r>
        <w:rPr>
          <w:sz w:val="20"/>
        </w:rPr>
        <w:t xml:space="preserve">(пп. 3(1) введен </w:t>
      </w:r>
      <w:hyperlink w:history="0" r:id="rId46"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Постановлением</w:t>
        </w:r>
      </w:hyperlink>
      <w:r>
        <w:rPr>
          <w:sz w:val="20"/>
        </w:rPr>
        <w:t xml:space="preserve"> Правительства РФ от 23.07.2024 N 998)</w:t>
      </w:r>
    </w:p>
    <w:p>
      <w:pPr>
        <w:pStyle w:val="0"/>
        <w:spacing w:before="200" w:line-rule="auto"/>
        <w:ind w:firstLine="540"/>
        <w:jc w:val="both"/>
      </w:pPr>
      <w:r>
        <w:rPr>
          <w:sz w:val="20"/>
        </w:rPr>
        <w:t xml:space="preserve">4) иные функции и полномочия, предусмотренные федеральными законами, а также принимаемыми в соответствии с ними нормативными правовыми актами Правительства Российской Федерации.</w:t>
      </w:r>
    </w:p>
    <w:p>
      <w:pPr>
        <w:pStyle w:val="0"/>
        <w:spacing w:before="200" w:line-rule="auto"/>
        <w:ind w:firstLine="540"/>
        <w:jc w:val="both"/>
      </w:pPr>
      <w:r>
        <w:rPr>
          <w:sz w:val="20"/>
        </w:rPr>
        <w:t xml:space="preserve">17. К функциям и полномочиям, связанным с защитой прав и законных интересов граждан - участников строительства, относятся:</w:t>
      </w:r>
    </w:p>
    <w:p>
      <w:pPr>
        <w:pStyle w:val="0"/>
        <w:spacing w:before="200" w:line-rule="auto"/>
        <w:ind w:firstLine="540"/>
        <w:jc w:val="both"/>
      </w:pPr>
      <w:r>
        <w:rPr>
          <w:sz w:val="20"/>
        </w:rPr>
        <w:t xml:space="preserve">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и имущества, приобретенного за счет инвестирования указанных денежных средств (далее - компенсационный фонд);</w:t>
      </w:r>
    </w:p>
    <w:p>
      <w:pPr>
        <w:pStyle w:val="0"/>
        <w:spacing w:before="200" w:line-rule="auto"/>
        <w:ind w:firstLine="540"/>
        <w:jc w:val="both"/>
      </w:pPr>
      <w:r>
        <w:rPr>
          <w:sz w:val="20"/>
        </w:rPr>
        <w:t xml:space="preserve">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в порядке, предусмотренном </w:t>
      </w:r>
      <w:hyperlink w:history="0" r:id="rId4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11</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целях обеспечения контроля за исполнением застройщиком обязанности по уплате обязательных отчислений (взносов) в компенсационный фонд;</w:t>
      </w:r>
    </w:p>
    <w:p>
      <w:pPr>
        <w:pStyle w:val="0"/>
        <w:spacing w:before="200" w:line-rule="auto"/>
        <w:ind w:firstLine="540"/>
        <w:jc w:val="both"/>
      </w:pPr>
      <w:r>
        <w:rPr>
          <w:sz w:val="20"/>
        </w:rPr>
        <w:t xml:space="preserve">3) выплата за счет имущества Фонда возмещения гражданам - участникам строительства, имеющим требования о передаче жилых помещений, машино-мест, а также нежилых помещений, определенных </w:t>
      </w:r>
      <w:hyperlink w:history="0" r:id="rId4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подпунктом 3.1 пункта 1 статьи 201.1</w:t>
        </w:r>
      </w:hyperlink>
      <w:r>
        <w:rPr>
          <w:sz w:val="20"/>
        </w:rPr>
        <w:t xml:space="preserve"> Федерального закона "О несостоятельности (банкротстве)" (далее - нежилые помещения), при несостоятельности (банкротстве) застройщика, в том числе жилищно-строительного кооператива, в соответствии с Федеральным </w:t>
      </w:r>
      <w:hyperlink w:history="0" r:id="rId49"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выплата за счет имущества Фонда возмещения гражданам, являющимся членами жилищно-строительного кооператива или иного специализированного потребительского кооператива, который создан в соответствии со </w:t>
      </w:r>
      <w:hyperlink w:history="0" r:id="rId5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201.10</w:t>
        </w:r>
      </w:hyperlink>
      <w:r>
        <w:rPr>
          <w:sz w:val="20"/>
        </w:rPr>
        <w:t xml:space="preserve"> Федерального закона "О несостоятельности (банкротстве)" и которому были переданы права застройщика на объект незавершенного строительства и земельный участок, если требования указанных граждан были погашены в деле о банкротстве застройщика путем такой передачи в соответствии с реестром требований участников строительства (реестром требований о передаче жилых помещений) и если указанные граждане имеют в отношении соответствующего кооператива требования о передаче жилых помещений, машино-мест и (или) нежилых помещений;</w:t>
      </w:r>
    </w:p>
    <w:p>
      <w:pPr>
        <w:pStyle w:val="0"/>
        <w:spacing w:before="200" w:line-rule="auto"/>
        <w:ind w:firstLine="540"/>
        <w:jc w:val="both"/>
      </w:pPr>
      <w:r>
        <w:rPr>
          <w:sz w:val="20"/>
        </w:rPr>
        <w:t xml:space="preserve">5) взаимодействие с Пенсионным фондом Российской Федерации и его территориальными органами для перечисления части возмещения при выплате его гражданину по договору, предусматривающему передачу жилых помещений, в размере средств (части средств) материнского (семейного) капитала;</w:t>
      </w:r>
    </w:p>
    <w:p>
      <w:pPr>
        <w:pStyle w:val="0"/>
        <w:spacing w:before="200" w:line-rule="auto"/>
        <w:ind w:firstLine="540"/>
        <w:jc w:val="both"/>
      </w:pPr>
      <w:r>
        <w:rPr>
          <w:sz w:val="20"/>
        </w:rPr>
        <w:t xml:space="preserve">6)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w:t>
      </w:r>
      <w:hyperlink w:history="0" r:id="rId5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 несостоятельности (банкротстве)" в порядке,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 и утверждение программы обучения арбитражных управляющих в качестве конкурсных управляющих (внешних управляющих) при банкротстве застройщиков;</w:t>
      </w:r>
    </w:p>
    <w:p>
      <w:pPr>
        <w:pStyle w:val="0"/>
        <w:spacing w:before="200" w:line-rule="auto"/>
        <w:ind w:firstLine="540"/>
        <w:jc w:val="both"/>
      </w:pPr>
      <w:r>
        <w:rPr>
          <w:sz w:val="20"/>
        </w:rPr>
        <w:t xml:space="preserve">7) финансирование за счет имущества Фонда мероприятий по завершению строительства многоквартирных домов, домов блокированной застройки (в случае, если количество таких домов составляет 3 и более), зданий (сооружений), предназначенных исключительно для размещения машино-мест (далее - объекты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объектов инфраструктуры в государственную или муниципальную собственность (далее - объекты инфраструктуры), в том числе объектов инфраструктуры, необходимых для обеспечения ввода при завершении строительства объектов незавершенного строительства в эксплуатацию;</w:t>
      </w:r>
    </w:p>
    <w:p>
      <w:pPr>
        <w:pStyle w:val="0"/>
        <w:spacing w:before="200" w:line-rule="auto"/>
        <w:ind w:firstLine="540"/>
        <w:jc w:val="both"/>
      </w:pPr>
      <w:r>
        <w:rPr>
          <w:sz w:val="20"/>
        </w:rPr>
        <w:t xml:space="preserve">8) выдача поручительства, предусмотренного </w:t>
      </w:r>
      <w:hyperlink w:history="0" r:id="rId5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13.2</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9) реализация имущества, переданного Фонду по основаниям, предусмотренным </w:t>
      </w:r>
      <w:hyperlink w:history="0" r:id="rId5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 несостоятельности (банкротстве)", в соответствии со </w:t>
      </w:r>
      <w:hyperlink w:history="0" r:id="rId5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13.4</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прав на указанное имущество, в том числе путем предоставления имущества в аренду для строительства по результатам торгов в порядке, определенном наблюдательным советом Фонда;</w:t>
      </w:r>
    </w:p>
    <w:bookmarkStart w:id="183" w:name="P183"/>
    <w:bookmarkEnd w:id="183"/>
    <w:p>
      <w:pPr>
        <w:pStyle w:val="0"/>
        <w:spacing w:before="200" w:line-rule="auto"/>
        <w:ind w:firstLine="540"/>
        <w:jc w:val="both"/>
      </w:pPr>
      <w:r>
        <w:rPr>
          <w:sz w:val="20"/>
        </w:rPr>
        <w:t xml:space="preserve">10) совершение в качестве агента некоммерческой организации в организационно-правовой форме фонда, созданной субъектом Российской Федерации в соответствии со </w:t>
      </w:r>
      <w:hyperlink w:history="0" r:id="rId5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21.1</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юридических и иных действий, в том числе сделок, связанных с реализацией жилых и нежилых помещений, машино-мест в находящихся в собственности такой некоммерческой организации объектах, завершение строительства которых осуществлялось с привлечением средств Фонда, в порядке, установленном Правительством Российской Федерации;</w:t>
      </w:r>
    </w:p>
    <w:p>
      <w:pPr>
        <w:pStyle w:val="0"/>
        <w:spacing w:before="200" w:line-rule="auto"/>
        <w:ind w:firstLine="540"/>
        <w:jc w:val="both"/>
      </w:pPr>
      <w:r>
        <w:rPr>
          <w:sz w:val="20"/>
        </w:rPr>
        <w:t xml:space="preserve">11) осуществление строительства, реконструкции объектов капитального строительства на земельных участках, в том числе права на которые переданы Фонду по основаниям, предусмотренным </w:t>
      </w:r>
      <w:hyperlink w:history="0" r:id="rId5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 несостоятельности (банкротстве)", в соответствии с </w:t>
      </w:r>
      <w:hyperlink w:history="0" r:id="rId57" w:tooltip="Федеральный закон от 30.12.2020 N 542-ФЗ &quot;О внесении изменений в статью 201.15-2-2 Федерального закона &quot;О несостоятельности (банкротстве)&quot; и статьи 3 и 13.4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частями 2</w:t>
        </w:r>
      </w:hyperlink>
      <w:r>
        <w:rPr>
          <w:sz w:val="20"/>
        </w:rPr>
        <w:t xml:space="preserve"> - </w:t>
      </w:r>
      <w:hyperlink w:history="0" r:id="rId58" w:tooltip="Федеральный закон от 30.12.2020 N 542-ФЗ &quot;О внесении изменений в статью 201.15-2-2 Федерального закона &quot;О несостоятельности (банкротстве)&quot; и статьи 3 и 13.4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4 статьи 3</w:t>
        </w:r>
      </w:hyperlink>
      <w:r>
        <w:rPr>
          <w:sz w:val="20"/>
        </w:rPr>
        <w:t xml:space="preserve"> Федерального закона "О внесении изменений в статью 201.15-2-2 Федерального закона "О несостоятельности (банкротстве)" и статьи 3 и 13.4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12) осуществление функций технического заказчика, включая проведение Фондом или специально созданным им для этих целей юридическим лицом строительного контроля, в том числе путем создания Фондом для целей осуществления таких функций специального юридического лица, в отношении многоквартирных домов и (или) иных объектов недвижимости, завершение строительства которых осуществляется некоммерческой организацией, указанной в </w:t>
      </w:r>
      <w:hyperlink w:history="0" w:anchor="P183" w:tooltip="10) совершение в качестве агента некоммерческой организации в организационно-правовой форме фонда, созданной субъектом Российской Федерации в соответствии со статьей 21.1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юридических и иных действий, в том числе сделок, связанных с реализацией жилых и нежилых помещений, машино-мест в находящихся в собственности такой неко...">
        <w:r>
          <w:rPr>
            <w:sz w:val="20"/>
            <w:color w:val="0000ff"/>
          </w:rPr>
          <w:t xml:space="preserve">подпункте 10</w:t>
        </w:r>
      </w:hyperlink>
      <w:r>
        <w:rPr>
          <w:sz w:val="20"/>
        </w:rPr>
        <w:t xml:space="preserve"> настоящего пункта, с использованием денежных средств, предоставляемых Фондом;</w:t>
      </w:r>
    </w:p>
    <w:p>
      <w:pPr>
        <w:pStyle w:val="0"/>
        <w:spacing w:before="200" w:line-rule="auto"/>
        <w:ind w:firstLine="540"/>
        <w:jc w:val="both"/>
      </w:pPr>
      <w:r>
        <w:rPr>
          <w:sz w:val="20"/>
        </w:rPr>
        <w:t xml:space="preserve">13) осуществление иных функций и полномочий, связанных с защитой прав и законных интересов граждан - участников строительства, предусмотренных федеральными законами и нормативными правовыми актами Правительства Российской Федерации.</w:t>
      </w:r>
    </w:p>
    <w:p>
      <w:pPr>
        <w:pStyle w:val="0"/>
        <w:spacing w:before="200" w:line-rule="auto"/>
        <w:ind w:firstLine="540"/>
        <w:jc w:val="both"/>
      </w:pPr>
      <w:r>
        <w:rPr>
          <w:sz w:val="20"/>
        </w:rPr>
        <w:t xml:space="preserve">18. К функциям и полномочиям, связанным с содействием модернизации жилищно-коммунального хозяйства и обеспечением сокращения непригодного для проживания жилищного фонда, относятся:</w:t>
      </w:r>
    </w:p>
    <w:p>
      <w:pPr>
        <w:pStyle w:val="0"/>
        <w:spacing w:before="200" w:line-rule="auto"/>
        <w:ind w:firstLine="540"/>
        <w:jc w:val="both"/>
      </w:pPr>
      <w:r>
        <w:rPr>
          <w:sz w:val="20"/>
        </w:rPr>
        <w:t xml:space="preserve">1) предоставление целевых средств бюджетам субъектов Российской Федерации на безвозвратной и безвозмездной основе на комплексное развитие территории жилой застройки, переселение граждан из аварийного жилищного фонда, проведение капитального ремонта многоквартирных домов, модернизацию систем коммунальной инфраструктуры в соответствии с Федеральным </w:t>
      </w:r>
      <w:hyperlink w:history="0" r:id="rId59"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Федеральным </w:t>
      </w:r>
      <w:hyperlink w:history="0" r:id="rId60"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 Фонде содействия реформированию жилищно-коммунального хозяйства" и нормативными правовыми актами Правительства Российской Федерации (далее - финансовая поддержка за счет средств Фонда);</w:t>
      </w:r>
    </w:p>
    <w:p>
      <w:pPr>
        <w:pStyle w:val="0"/>
        <w:spacing w:before="200" w:line-rule="auto"/>
        <w:ind w:firstLine="540"/>
        <w:jc w:val="both"/>
      </w:pPr>
      <w:r>
        <w:rPr>
          <w:sz w:val="20"/>
        </w:rPr>
        <w:t xml:space="preserve">2) создание, ввод в эксплуатацию, эксплуатация, модернизация, развитие, вывод из эксплуатации информационных систем, в том числе в случаях и порядке, которые определены Министерством строительства и жилищно-коммунального хозяйства Российской Федерации, в целях проведения мониторинга в сфере жилищно-коммунального хозяйства, формирования, ведения реестра территорий, в отношении которых может быть принято решение о комплексном развитии территории жилой застройки, реестра многоквартирных домов, признанных аварийными и подлежащими сносу или реконструкции, реестра жилых помещений, признанных непригодными для проживания, реестра граждан, являющихся собственниками жилых помещений в многоквартирных домах, признанных аварийными и подлежащими сносу или реконструкции, граждан, являющихся собственниками жилых помещений, признанных непригодными для проживания, граждан, являющихся пользователями указанных жилых помещений по договору социального найма, с указанием прав граждан в связи с признанием многоквартирных домов аварийными и подлежащими сносу или реконструкции, признанием жилых помещений непригодными для проживания, реестра многоквартирных домов, признанных находящимися в ограниченно работоспособном техническом состоянии;</w:t>
      </w:r>
    </w:p>
    <w:p>
      <w:pPr>
        <w:pStyle w:val="0"/>
        <w:spacing w:before="200" w:line-rule="auto"/>
        <w:ind w:firstLine="540"/>
        <w:jc w:val="both"/>
      </w:pPr>
      <w:r>
        <w:rPr>
          <w:sz w:val="20"/>
        </w:rPr>
        <w:t xml:space="preserve">3) осуществление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осуществления региональными операторами деятельности, направленной на обеспечение проведения капитального ремонта общего имущества в многоквартирных домах, а также выполнения условий предоставления финансовой поддержки за счет средств Фонда;</w:t>
      </w:r>
    </w:p>
    <w:p>
      <w:pPr>
        <w:pStyle w:val="0"/>
        <w:spacing w:before="200" w:line-rule="auto"/>
        <w:ind w:firstLine="540"/>
        <w:jc w:val="both"/>
      </w:pPr>
      <w:r>
        <w:rPr>
          <w:sz w:val="20"/>
        </w:rPr>
        <w:t xml:space="preserve">4) выполнение в случаях и порядке, которые установлены Правительством Российской Федерации, функции агента Правительства Российской Федерации по предоставлению социальных выплат на приобретение жилых помещений на территории Российской Федерации гражданам, относящимся к категориям, установленным федеральными законами, указами Президента Российской Федерации и актами Правительства Российской Федерации;</w:t>
      </w:r>
    </w:p>
    <w:p>
      <w:pPr>
        <w:pStyle w:val="0"/>
        <w:spacing w:before="200" w:line-rule="auto"/>
        <w:ind w:firstLine="540"/>
        <w:jc w:val="both"/>
      </w:pPr>
      <w:r>
        <w:rPr>
          <w:sz w:val="20"/>
        </w:rPr>
        <w:t xml:space="preserve">5) осуществление мониторинга устранения аварий и инцидентов на объектах жилищно-коммунального хозяйства в случаях и порядке, которые определены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6) осуществление в случаях и порядке, которые определены Министерством строительства и жилищно-коммунального хозяйства Российской Федерации, мониторинга состояния систем и объектов водоснабжения, водоотведения (включая отведение поверхностных сточных вод), теплоснабжения, включающего мониторинг реализации программ модернизации таких систем и объектов, в том числе инвестиционных программ, реализации концессионных соглашений;</w:t>
      </w:r>
    </w:p>
    <w:p>
      <w:pPr>
        <w:pStyle w:val="0"/>
        <w:spacing w:before="200" w:line-rule="auto"/>
        <w:ind w:firstLine="540"/>
        <w:jc w:val="both"/>
      </w:pPr>
      <w:r>
        <w:rPr>
          <w:sz w:val="20"/>
        </w:rPr>
        <w:t xml:space="preserve">7) привлечение кредитных и иных заемных средств в порядке и на условиях, которые определены наблюдательным советом Фонда, в целях предоставления финансовой поддержки субъектам Российской Федерации на переселение граждан из аварийного жилищного фонда в соответствии с </w:t>
      </w:r>
      <w:hyperlink w:history="0" r:id="rId61"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частью 5 статьи 19</w:t>
        </w:r>
      </w:hyperlink>
      <w:r>
        <w:rPr>
          <w:sz w:val="20"/>
        </w:rPr>
        <w:t xml:space="preserve"> Федерального закона "О Фонде содействия реформированию жилищно-коммунального хозяйства";</w:t>
      </w:r>
    </w:p>
    <w:p>
      <w:pPr>
        <w:pStyle w:val="0"/>
        <w:spacing w:before="200" w:line-rule="auto"/>
        <w:ind w:firstLine="540"/>
        <w:jc w:val="both"/>
      </w:pPr>
      <w:r>
        <w:rPr>
          <w:sz w:val="20"/>
        </w:rPr>
        <w:t xml:space="preserve">8) привлечение средств Фонда национального благосостояния, в том числе путем размещения облигаций без обеспечения, в порядке и на условиях, которые определены Правительством Российской Федерации, и предоставление за счет привлеченных средств займов юридическим лицам, в том числе путем приобретения облигаций юридических лиц при их первичном размещении, в целях, определенных </w:t>
      </w:r>
      <w:hyperlink w:history="0" r:id="rId6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13.7</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с учетом требований, предусмотренных указанной статьей;</w:t>
      </w:r>
    </w:p>
    <w:p>
      <w:pPr>
        <w:pStyle w:val="0"/>
        <w:spacing w:before="200" w:line-rule="auto"/>
        <w:ind w:firstLine="540"/>
        <w:jc w:val="both"/>
      </w:pPr>
      <w:r>
        <w:rPr>
          <w:sz w:val="20"/>
        </w:rPr>
        <w:t xml:space="preserve">9) осуществление строительства Фондом наемных домов;</w:t>
      </w:r>
    </w:p>
    <w:p>
      <w:pPr>
        <w:pStyle w:val="0"/>
        <w:spacing w:before="200" w:line-rule="auto"/>
        <w:ind w:firstLine="540"/>
        <w:jc w:val="both"/>
      </w:pPr>
      <w:r>
        <w:rPr>
          <w:sz w:val="20"/>
        </w:rPr>
        <w:t xml:space="preserve">10) осуществление информационно-разъяснительной и иной деятельности, направленной на просвещение граждан в сфере жилищно-коммунального хозяйства;</w:t>
      </w:r>
    </w:p>
    <w:p>
      <w:pPr>
        <w:pStyle w:val="0"/>
        <w:spacing w:before="200" w:line-rule="auto"/>
        <w:ind w:firstLine="540"/>
        <w:jc w:val="both"/>
      </w:pPr>
      <w:r>
        <w:rPr>
          <w:sz w:val="20"/>
        </w:rPr>
        <w:t xml:space="preserve">11) содействие в подготовке кадров в сфере жилищно-коммунального хозяйства;</w:t>
      </w:r>
    </w:p>
    <w:p>
      <w:pPr>
        <w:pStyle w:val="0"/>
        <w:spacing w:before="200" w:line-rule="auto"/>
        <w:ind w:firstLine="540"/>
        <w:jc w:val="both"/>
      </w:pPr>
      <w:r>
        <w:rPr>
          <w:sz w:val="20"/>
        </w:rPr>
        <w:t xml:space="preserve">12) осуществление иных функций и полномочий, связанных с содействием модернизации жилищно-коммунального хозяйства и обеспечением сокращения непригодного для проживания жилищного фонда, предусмотренных федеральными законами и нормативными правовыми актами Правительства Российской Федерации.</w:t>
      </w:r>
    </w:p>
    <w:p>
      <w:pPr>
        <w:pStyle w:val="0"/>
        <w:spacing w:before="200" w:line-rule="auto"/>
        <w:ind w:firstLine="540"/>
        <w:jc w:val="both"/>
      </w:pPr>
      <w:r>
        <w:rPr>
          <w:sz w:val="20"/>
        </w:rPr>
        <w:t xml:space="preserve">19. К функциям и полномочиям, связанным с содействием в обеспечении устойчивого развития территорий и создании комфортных и благоприятных условий проживания граждан, относятся:</w:t>
      </w:r>
    </w:p>
    <w:p>
      <w:pPr>
        <w:pStyle w:val="0"/>
        <w:spacing w:before="200" w:line-rule="auto"/>
        <w:ind w:firstLine="540"/>
        <w:jc w:val="both"/>
      </w:pPr>
      <w:r>
        <w:rPr>
          <w:sz w:val="20"/>
        </w:rPr>
        <w:t xml:space="preserve">1) содействие комплексному развитию территорий в соответствии с законодательством о градостроительной деятельности;</w:t>
      </w:r>
    </w:p>
    <w:p>
      <w:pPr>
        <w:pStyle w:val="0"/>
        <w:spacing w:before="200" w:line-rule="auto"/>
        <w:ind w:firstLine="540"/>
        <w:jc w:val="both"/>
      </w:pPr>
      <w:r>
        <w:rPr>
          <w:sz w:val="20"/>
        </w:rPr>
        <w:t xml:space="preserve">2) осуществление функций застройщика, технического заказчика в случаях, определенных Правительством Российской Федерации;</w:t>
      </w:r>
    </w:p>
    <w:p>
      <w:pPr>
        <w:pStyle w:val="0"/>
        <w:spacing w:before="200" w:line-rule="auto"/>
        <w:ind w:firstLine="540"/>
        <w:jc w:val="both"/>
      </w:pPr>
      <w:r>
        <w:rPr>
          <w:sz w:val="20"/>
        </w:rPr>
        <w:t xml:space="preserve">3) реализация совместных с высшими исполнительными органами субъектов Российской Федерации, иными исполнительными органами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высшим исполнительным органам субъектов Российской Федерации, иным исполнительным органам субъектов Российской Федерации для их предоставления гражданам, нуждающимся в улучшении жилищных условий, гражданам, переселяемым из аварийного жилищного фонда, детям-сиротам и детям, оставшимся без попечения родителей, лицам из числа детей-сирот и детей, оставшихся без попечения родителей, гражданам, имеющим низкий уровень дохода, гражданам, страдающим тяжелой формой хронических заболеваний, многодетным семьям;</w:t>
      </w:r>
    </w:p>
    <w:p>
      <w:pPr>
        <w:pStyle w:val="0"/>
        <w:jc w:val="both"/>
      </w:pPr>
      <w:r>
        <w:rPr>
          <w:sz w:val="20"/>
        </w:rPr>
        <w:t xml:space="preserve">(в ред. </w:t>
      </w:r>
      <w:hyperlink w:history="0" r:id="rId63" w:tooltip="Постановление Правительства РФ от 30.05.2024 N 7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30.05.2024 N 721)</w:t>
      </w:r>
    </w:p>
    <w:p>
      <w:pPr>
        <w:pStyle w:val="0"/>
        <w:spacing w:before="200" w:line-rule="auto"/>
        <w:ind w:firstLine="540"/>
        <w:jc w:val="both"/>
      </w:pPr>
      <w:r>
        <w:rPr>
          <w:sz w:val="20"/>
        </w:rPr>
        <w:t xml:space="preserve">4) взаимодействие с органами государственной власти, органами местного самоуправления и застройщиками;</w:t>
      </w:r>
    </w:p>
    <w:p>
      <w:pPr>
        <w:pStyle w:val="0"/>
        <w:spacing w:before="200" w:line-rule="auto"/>
        <w:ind w:firstLine="540"/>
        <w:jc w:val="both"/>
      </w:pPr>
      <w:r>
        <w:rPr>
          <w:sz w:val="20"/>
        </w:rPr>
        <w:t xml:space="preserve">5) осуществление комплексного развития территорий на основании решений, принятых Правительством Российской Федерации в соответствии с законодательством о градостроительной деятельности, самостоятельно или с привлечением иных лиц;</w:t>
      </w:r>
    </w:p>
    <w:p>
      <w:pPr>
        <w:pStyle w:val="0"/>
        <w:spacing w:before="200" w:line-rule="auto"/>
        <w:ind w:firstLine="540"/>
        <w:jc w:val="both"/>
      </w:pPr>
      <w:r>
        <w:rPr>
          <w:sz w:val="20"/>
        </w:rPr>
        <w:t xml:space="preserve">5(1)) содействие развитию инфраструктуры субъектов Российской Федерации, в том числе в рамках проводимого мониторинга реализации инфраструктурных проектов (мероприятий), источником финансового обеспечения расходов на реализацию которых являются соответственно бюджетные кредиты из федерального бюджета бюджетам субъектов Российской Федерации на финансовое обеспечение реализации инфраструктурных проектов или бюджетные кредиты бюджетам субъектов Российской Федерации за счет временно свободных средств единого счета федерального бюджета, в том числе на финансовое обеспечение реализации инфраструктурных проектов (мероприятий), одобренных президиумом (штабом) Правительственной комиссии по региональному развитию в Российской Федерации;</w:t>
      </w:r>
    </w:p>
    <w:p>
      <w:pPr>
        <w:pStyle w:val="0"/>
        <w:jc w:val="both"/>
      </w:pPr>
      <w:r>
        <w:rPr>
          <w:sz w:val="20"/>
        </w:rPr>
        <w:t xml:space="preserve">(пп. 5(1) введен </w:t>
      </w:r>
      <w:hyperlink w:history="0" r:id="rId64" w:tooltip="Постановление Правительства РФ от 30.05.2024 N 7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30.05.2024 N 721; в ред. </w:t>
      </w:r>
      <w:hyperlink w:history="0" r:id="rId65" w:tooltip="Постановление Правительства РФ от 28.04.2025 N 566 &quot;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 изменения параметров (характеристик) отобранных (одобренных) инфраструктурных проектов (мероприятий)&quot; {КонсультантПлюс}">
        <w:r>
          <w:rPr>
            <w:sz w:val="20"/>
            <w:color w:val="0000ff"/>
          </w:rPr>
          <w:t xml:space="preserve">Постановления</w:t>
        </w:r>
      </w:hyperlink>
      <w:r>
        <w:rPr>
          <w:sz w:val="20"/>
        </w:rPr>
        <w:t xml:space="preserve"> Правительства РФ от 28.04.2025 N 566)</w:t>
      </w:r>
    </w:p>
    <w:p>
      <w:pPr>
        <w:pStyle w:val="0"/>
        <w:spacing w:before="200" w:line-rule="auto"/>
        <w:ind w:firstLine="540"/>
        <w:jc w:val="both"/>
      </w:pPr>
      <w:r>
        <w:rPr>
          <w:sz w:val="20"/>
        </w:rPr>
        <w:t xml:space="preserve">6) осуществление иных функций и полномочий, связанных с содействием в обеспечении устойчивого развития территорий и создании комфортных и благоприятных условий проживания граждан, предусмотренных федеральными законами и нормативными правовыми актами Правительства Российской Федерации.</w:t>
      </w:r>
    </w:p>
    <w:p>
      <w:pPr>
        <w:pStyle w:val="0"/>
        <w:spacing w:before="200" w:line-rule="auto"/>
        <w:ind w:firstLine="540"/>
        <w:jc w:val="both"/>
      </w:pPr>
      <w:r>
        <w:rPr>
          <w:sz w:val="20"/>
        </w:rPr>
        <w:t xml:space="preserve">19(1). К функциям и полномочиям, связанным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Федеральным </w:t>
      </w:r>
      <w:hyperlink w:history="0" r:id="rId66"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другими федеральными законами, нормативными правовыми актами Правительства Российской Федерации, относятся:</w:t>
      </w:r>
    </w:p>
    <w:p>
      <w:pPr>
        <w:pStyle w:val="0"/>
        <w:spacing w:before="200" w:line-rule="auto"/>
        <w:ind w:firstLine="540"/>
        <w:jc w:val="both"/>
      </w:pPr>
      <w:r>
        <w:rPr>
          <w:sz w:val="20"/>
        </w:rPr>
        <w:t xml:space="preserve">1) осуществление полномочий управляющей компании в соответствии с Федеральным </w:t>
      </w:r>
      <w:hyperlink w:history="0" r:id="rId67"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и иным законодательством Российской Федерации;</w:t>
      </w:r>
    </w:p>
    <w:p>
      <w:pPr>
        <w:pStyle w:val="0"/>
        <w:spacing w:before="200" w:line-rule="auto"/>
        <w:ind w:firstLine="540"/>
        <w:jc w:val="both"/>
      </w:pPr>
      <w:r>
        <w:rPr>
          <w:sz w:val="20"/>
        </w:rPr>
        <w:t xml:space="preserve">2) реализация (участие в реализации) мероприятий, предусмотренных решениями коллегиального органа, образованного распоряжением Правительства Российской Федерации от 18 марта 2022 г. N 542-р, и направленных на содействие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на территориях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3) осуществление иных функций и полномочий, связанных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предусмотренных федеральными законами, нормативными правовыми актами Правительства Российской Федерации.</w:t>
      </w:r>
    </w:p>
    <w:p>
      <w:pPr>
        <w:pStyle w:val="0"/>
        <w:jc w:val="both"/>
      </w:pPr>
      <w:r>
        <w:rPr>
          <w:sz w:val="20"/>
        </w:rPr>
        <w:t xml:space="preserve">(п. 19(1) введен </w:t>
      </w:r>
      <w:hyperlink w:history="0" r:id="rId68"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Постановлением</w:t>
        </w:r>
      </w:hyperlink>
      <w:r>
        <w:rPr>
          <w:sz w:val="20"/>
        </w:rPr>
        <w:t xml:space="preserve"> Правительства РФ от 23.07.2024 N 998)</w:t>
      </w:r>
    </w:p>
    <w:p>
      <w:pPr>
        <w:pStyle w:val="0"/>
        <w:spacing w:before="200" w:line-rule="auto"/>
        <w:ind w:firstLine="540"/>
        <w:jc w:val="both"/>
      </w:pPr>
      <w:r>
        <w:rPr>
          <w:sz w:val="20"/>
        </w:rPr>
        <w:t xml:space="preserve">20. В целях выполнения функций и полномочий, предусмотренных Федеральным </w:t>
      </w:r>
      <w:hyperlink w:history="0" r:id="rId69"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и настоящим уставом, Фонд вправе:</w:t>
      </w:r>
    </w:p>
    <w:bookmarkStart w:id="216" w:name="P216"/>
    <w:bookmarkEnd w:id="216"/>
    <w:p>
      <w:pPr>
        <w:pStyle w:val="0"/>
        <w:spacing w:before="200" w:line-rule="auto"/>
        <w:ind w:firstLine="540"/>
        <w:jc w:val="both"/>
      </w:pPr>
      <w:r>
        <w:rPr>
          <w:sz w:val="20"/>
        </w:rPr>
        <w:t xml:space="preserve">1) создавать юридические лица в соответствии с законодательством Российской Федерации, в том числе специализированные общества проектного финансирования;</w:t>
      </w:r>
    </w:p>
    <w:p>
      <w:pPr>
        <w:pStyle w:val="0"/>
        <w:spacing w:before="200" w:line-rule="auto"/>
        <w:ind w:firstLine="540"/>
        <w:jc w:val="both"/>
      </w:pPr>
      <w:r>
        <w:rPr>
          <w:sz w:val="20"/>
        </w:rPr>
        <w:t xml:space="preserve">2) осуществлять права учредителя в отношении юридических лиц, созданных им и являющихся унитарными юридическими лицами;</w:t>
      </w:r>
    </w:p>
    <w:p>
      <w:pPr>
        <w:pStyle w:val="0"/>
        <w:spacing w:before="200" w:line-rule="auto"/>
        <w:ind w:firstLine="540"/>
        <w:jc w:val="both"/>
      </w:pPr>
      <w:r>
        <w:rPr>
          <w:sz w:val="20"/>
        </w:rPr>
        <w:t xml:space="preserve">3) вносить в уставный капитал юридических лиц, указанных в </w:t>
      </w:r>
      <w:hyperlink w:history="0" w:anchor="P216" w:tooltip="1) создавать юридические лица в соответствии с законодательством Российской Федерации, в том числе специализированные общества проектного финансирования;">
        <w:r>
          <w:rPr>
            <w:sz w:val="20"/>
            <w:color w:val="0000ff"/>
          </w:rPr>
          <w:t xml:space="preserve">подпункте 1</w:t>
        </w:r>
      </w:hyperlink>
      <w:r>
        <w:rPr>
          <w:sz w:val="20"/>
        </w:rPr>
        <w:t xml:space="preserve"> настоящего пункта, земельные участки с находящимися на них неотделимыми улучшениями, переданные Фонду по основаниям, предусмотренным </w:t>
      </w:r>
      <w:hyperlink w:history="0" r:id="rId7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 несостоятельности (банкротстве)";</w:t>
      </w:r>
    </w:p>
    <w:p>
      <w:pPr>
        <w:pStyle w:val="0"/>
        <w:spacing w:before="200" w:line-rule="auto"/>
        <w:ind w:firstLine="540"/>
        <w:jc w:val="both"/>
      </w:pPr>
      <w:r>
        <w:rPr>
          <w:sz w:val="20"/>
        </w:rPr>
        <w:t xml:space="preserve">4) осуществлять корпоративные (членские) права и исполнять обязанности в отношении юридических лиц, участником (членом) которых является Фонд;</w:t>
      </w:r>
    </w:p>
    <w:p>
      <w:pPr>
        <w:pStyle w:val="0"/>
        <w:spacing w:before="200" w:line-rule="auto"/>
        <w:ind w:firstLine="540"/>
        <w:jc w:val="both"/>
      </w:pPr>
      <w:r>
        <w:rPr>
          <w:sz w:val="20"/>
        </w:rPr>
        <w:t xml:space="preserve">5) выпускать облигации в соответствии с законодательством Российской Федерации;</w:t>
      </w:r>
    </w:p>
    <w:p>
      <w:pPr>
        <w:pStyle w:val="0"/>
        <w:spacing w:before="200" w:line-rule="auto"/>
        <w:ind w:firstLine="540"/>
        <w:jc w:val="both"/>
      </w:pPr>
      <w:r>
        <w:rPr>
          <w:sz w:val="20"/>
        </w:rPr>
        <w:t xml:space="preserve">6) инвестировать временно свободные средства в порядке, установленном Правительством Российской Федерации;</w:t>
      </w:r>
    </w:p>
    <w:p>
      <w:pPr>
        <w:pStyle w:val="0"/>
        <w:spacing w:before="200" w:line-rule="auto"/>
        <w:ind w:firstLine="540"/>
        <w:jc w:val="both"/>
      </w:pPr>
      <w:r>
        <w:rPr>
          <w:sz w:val="20"/>
        </w:rPr>
        <w:t xml:space="preserve">7) являться участником государственных программ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8) осуществлять иную, в том числе приносящую доход, деятельность, направленную на достижение поставленных перед Фондом в соответствии с Федеральным </w:t>
      </w:r>
      <w:hyperlink w:history="0" r:id="rId7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и настоящим уставом целей.</w:t>
      </w:r>
    </w:p>
    <w:p>
      <w:pPr>
        <w:pStyle w:val="0"/>
        <w:spacing w:before="200" w:line-rule="auto"/>
        <w:ind w:firstLine="540"/>
        <w:jc w:val="both"/>
      </w:pPr>
      <w:r>
        <w:rPr>
          <w:sz w:val="20"/>
        </w:rPr>
        <w:t xml:space="preserve">21. Фонд осуществляет виды деятельности, не запрещенные законодательством Российской Федерации и соответствующие целям его создания.</w:t>
      </w:r>
    </w:p>
    <w:p>
      <w:pPr>
        <w:pStyle w:val="0"/>
        <w:spacing w:before="200" w:line-rule="auto"/>
        <w:ind w:firstLine="540"/>
        <w:jc w:val="both"/>
      </w:pPr>
      <w:r>
        <w:rPr>
          <w:sz w:val="20"/>
        </w:rPr>
        <w:t xml:space="preserve">21(1). Защита государственной тайны является одним из видов основной деятельности Фонда.</w:t>
      </w:r>
    </w:p>
    <w:p>
      <w:pPr>
        <w:pStyle w:val="0"/>
        <w:jc w:val="both"/>
      </w:pPr>
      <w:r>
        <w:rPr>
          <w:sz w:val="20"/>
        </w:rPr>
        <w:t xml:space="preserve">(п. 21(1) введен </w:t>
      </w:r>
      <w:hyperlink w:history="0" r:id="rId72"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26.04.2023 N 661)</w:t>
      </w:r>
    </w:p>
    <w:p>
      <w:pPr>
        <w:pStyle w:val="0"/>
        <w:spacing w:before="200" w:line-rule="auto"/>
        <w:ind w:firstLine="540"/>
        <w:jc w:val="both"/>
      </w:pPr>
      <w:r>
        <w:rPr>
          <w:sz w:val="20"/>
        </w:rPr>
        <w:t xml:space="preserve">21(2). Фонд обеспечивает в пределах своей компетенции защиту сведений, составляющих государственную тайну.</w:t>
      </w:r>
    </w:p>
    <w:p>
      <w:pPr>
        <w:pStyle w:val="0"/>
        <w:jc w:val="both"/>
      </w:pPr>
      <w:r>
        <w:rPr>
          <w:sz w:val="20"/>
        </w:rPr>
        <w:t xml:space="preserve">(п. 21(2) введен </w:t>
      </w:r>
      <w:hyperlink w:history="0" r:id="rId73"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26.04.2023 N 661)</w:t>
      </w:r>
    </w:p>
    <w:p>
      <w:pPr>
        <w:pStyle w:val="0"/>
        <w:jc w:val="both"/>
      </w:pPr>
      <w:r>
        <w:rPr>
          <w:sz w:val="20"/>
        </w:rPr>
      </w:r>
    </w:p>
    <w:p>
      <w:pPr>
        <w:pStyle w:val="2"/>
        <w:outlineLvl w:val="1"/>
        <w:jc w:val="center"/>
      </w:pPr>
      <w:r>
        <w:rPr>
          <w:sz w:val="20"/>
        </w:rPr>
        <w:t xml:space="preserve">III. Органы Фонда</w:t>
      </w:r>
    </w:p>
    <w:p>
      <w:pPr>
        <w:pStyle w:val="0"/>
        <w:jc w:val="both"/>
      </w:pPr>
      <w:r>
        <w:rPr>
          <w:sz w:val="20"/>
        </w:rPr>
      </w:r>
    </w:p>
    <w:p>
      <w:pPr>
        <w:pStyle w:val="0"/>
        <w:ind w:firstLine="540"/>
        <w:jc w:val="both"/>
      </w:pPr>
      <w:r>
        <w:rPr>
          <w:sz w:val="20"/>
        </w:rPr>
        <w:t xml:space="preserve">22. Органами управления Фонда являются наблюдательный совет Фонда, правление Фонда и генеральный директор Фонда. Органом Фонда является попечительский совет Фонда.</w:t>
      </w:r>
    </w:p>
    <w:p>
      <w:pPr>
        <w:pStyle w:val="0"/>
        <w:spacing w:before="200" w:line-rule="auto"/>
        <w:ind w:firstLine="540"/>
        <w:jc w:val="both"/>
      </w:pPr>
      <w:r>
        <w:rPr>
          <w:sz w:val="20"/>
        </w:rPr>
        <w:t xml:space="preserve">23. Высшим органом управления Фонда является наблюдательный совет Фонда.</w:t>
      </w:r>
    </w:p>
    <w:p>
      <w:pPr>
        <w:pStyle w:val="0"/>
        <w:spacing w:before="200" w:line-rule="auto"/>
        <w:ind w:firstLine="540"/>
        <w:jc w:val="both"/>
      </w:pPr>
      <w:r>
        <w:rPr>
          <w:sz w:val="20"/>
        </w:rPr>
        <w:t xml:space="preserve">24. Правление Фонда является коллегиальным исполнительным органом управления Фонда.</w:t>
      </w:r>
    </w:p>
    <w:p>
      <w:pPr>
        <w:pStyle w:val="0"/>
        <w:spacing w:before="200" w:line-rule="auto"/>
        <w:ind w:firstLine="540"/>
        <w:jc w:val="both"/>
      </w:pPr>
      <w:r>
        <w:rPr>
          <w:sz w:val="20"/>
        </w:rPr>
        <w:t xml:space="preserve">25. Генеральный директор Фонда является единоличным исполнительным органом Фонда.</w:t>
      </w:r>
    </w:p>
    <w:p>
      <w:pPr>
        <w:pStyle w:val="0"/>
        <w:spacing w:before="200" w:line-rule="auto"/>
        <w:ind w:firstLine="540"/>
        <w:jc w:val="both"/>
      </w:pPr>
      <w:r>
        <w:rPr>
          <w:sz w:val="20"/>
        </w:rPr>
        <w:t xml:space="preserve">26. Попечительский совет Фонда осуществляет надзор за деятельностью Фонда, принятием органами управления Фонда решений и обеспечением их исполнения, использованием средств Фонда, соблюдением Фондом законодательства Российской Федерации.</w:t>
      </w:r>
    </w:p>
    <w:p>
      <w:pPr>
        <w:pStyle w:val="0"/>
        <w:jc w:val="both"/>
      </w:pPr>
      <w:r>
        <w:rPr>
          <w:sz w:val="20"/>
        </w:rPr>
      </w:r>
    </w:p>
    <w:p>
      <w:pPr>
        <w:pStyle w:val="2"/>
        <w:outlineLvl w:val="1"/>
        <w:jc w:val="center"/>
      </w:pPr>
      <w:r>
        <w:rPr>
          <w:sz w:val="20"/>
        </w:rPr>
        <w:t xml:space="preserve">IV. Наблюдательный совет Фонда, члены наблюдательного совета</w:t>
      </w:r>
    </w:p>
    <w:p>
      <w:pPr>
        <w:pStyle w:val="2"/>
        <w:jc w:val="center"/>
      </w:pPr>
      <w:r>
        <w:rPr>
          <w:sz w:val="20"/>
        </w:rPr>
        <w:t xml:space="preserve">Фонда, комитеты и комиссии наблюдательного совета Фонда</w:t>
      </w:r>
    </w:p>
    <w:p>
      <w:pPr>
        <w:pStyle w:val="0"/>
        <w:jc w:val="both"/>
      </w:pPr>
      <w:r>
        <w:rPr>
          <w:sz w:val="20"/>
        </w:rPr>
      </w:r>
    </w:p>
    <w:p>
      <w:pPr>
        <w:pStyle w:val="0"/>
        <w:ind w:firstLine="540"/>
        <w:jc w:val="both"/>
      </w:pPr>
      <w:r>
        <w:rPr>
          <w:sz w:val="20"/>
        </w:rPr>
        <w:t xml:space="preserve">27. Наблюдательный совет Фонда осуществляет контроль за деятельностью Фонда, в том числе за исполнением принимаемых органами управления Фонда решений, использованием средств Фонда, соблюдением Фондом законодательства Российской Федерации и настоящего устава.</w:t>
      </w:r>
    </w:p>
    <w:p>
      <w:pPr>
        <w:pStyle w:val="0"/>
        <w:spacing w:before="200" w:line-rule="auto"/>
        <w:ind w:firstLine="540"/>
        <w:jc w:val="both"/>
      </w:pPr>
      <w:r>
        <w:rPr>
          <w:sz w:val="20"/>
        </w:rPr>
        <w:t xml:space="preserve">28. </w:t>
      </w:r>
      <w:hyperlink w:history="0" w:anchor="P42" w:tooltip="ПОЛОЖЕНИЕ">
        <w:r>
          <w:rPr>
            <w:sz w:val="20"/>
            <w:color w:val="0000ff"/>
          </w:rPr>
          <w:t xml:space="preserve">Положение</w:t>
        </w:r>
      </w:hyperlink>
      <w:r>
        <w:rPr>
          <w:sz w:val="20"/>
        </w:rPr>
        <w:t xml:space="preserve"> о наблюдательном совете Фонда утверждается Правительством Российской Федерации.</w:t>
      </w:r>
    </w:p>
    <w:p>
      <w:pPr>
        <w:pStyle w:val="0"/>
        <w:spacing w:before="200" w:line-rule="auto"/>
        <w:ind w:firstLine="540"/>
        <w:jc w:val="both"/>
      </w:pPr>
      <w:r>
        <w:rPr>
          <w:sz w:val="20"/>
        </w:rPr>
        <w:t xml:space="preserve">29. Наблюдательный совет Фонда:</w:t>
      </w:r>
    </w:p>
    <w:p>
      <w:pPr>
        <w:pStyle w:val="0"/>
        <w:spacing w:before="200" w:line-rule="auto"/>
        <w:ind w:firstLine="540"/>
        <w:jc w:val="both"/>
      </w:pPr>
      <w:r>
        <w:rPr>
          <w:sz w:val="20"/>
        </w:rPr>
        <w:t xml:space="preserve">1) утверждает стратегию развития Фонда, определяющую основные направления, целевые показатели и ожидаемые результаты деятельности Фонда и содержащую в том числе сведения о мероприятиях, для реализации которых Фонду предоставляются субсидии из федерального бюджета, с указанием источников, объема, структуры их финансирования (далее - стратегия развития Фонда), а также вносимые в нее изменения;</w:t>
      </w:r>
    </w:p>
    <w:p>
      <w:pPr>
        <w:pStyle w:val="0"/>
        <w:spacing w:before="200" w:line-rule="auto"/>
        <w:ind w:firstLine="540"/>
        <w:jc w:val="both"/>
      </w:pPr>
      <w:r>
        <w:rPr>
          <w:sz w:val="20"/>
        </w:rPr>
        <w:t xml:space="preserve">2) утверждает годовой финансовый план (бюджет) Фонда, включающий в себя в том числе общий объем расходов и смету расходов Фонда (далее - годовой финансовый план (бюджет) Фонда), а также утверждает изменения, вносимые в годовой финансовый план (бюджет) Фонда;</w:t>
      </w:r>
    </w:p>
    <w:p>
      <w:pPr>
        <w:pStyle w:val="0"/>
        <w:spacing w:before="200" w:line-rule="auto"/>
        <w:ind w:firstLine="540"/>
        <w:jc w:val="both"/>
      </w:pPr>
      <w:r>
        <w:rPr>
          <w:sz w:val="20"/>
        </w:rPr>
        <w:t xml:space="preserve">3) утверждает годовой отчет Фонда, направляет его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Счетную палату Российской Федерации, Общественную палату Российской Федерации и определяет объем, в котором годовой отчет Фонда подлежит обязательному опубликованию путем размещения на официальном сайте Фонда в информационно-телекоммуникационной сети "Интернет";</w:t>
      </w:r>
    </w:p>
    <w:p>
      <w:pPr>
        <w:pStyle w:val="0"/>
        <w:spacing w:before="200" w:line-rule="auto"/>
        <w:ind w:firstLine="540"/>
        <w:jc w:val="both"/>
      </w:pPr>
      <w:r>
        <w:rPr>
          <w:sz w:val="20"/>
        </w:rPr>
        <w:t xml:space="preserve">4) принимает решения о формировании резервного и иных целевых фондов, утверждает размеры, порядок их формирования и использования;</w:t>
      </w:r>
    </w:p>
    <w:p>
      <w:pPr>
        <w:pStyle w:val="0"/>
        <w:spacing w:before="200" w:line-rule="auto"/>
        <w:ind w:firstLine="540"/>
        <w:jc w:val="both"/>
      </w:pPr>
      <w:r>
        <w:rPr>
          <w:sz w:val="20"/>
        </w:rPr>
        <w:t xml:space="preserve">5) утверждает порядок подготовки и принятия решений органами управления Фонда по вопросам инвестирования временно свободных средств Фонда, определяет предельный объем инвестируемых временно свободных средств Фонда в соответствии с порядком и условиями, которые установлены Правительством Российской Федерации;</w:t>
      </w:r>
    </w:p>
    <w:p>
      <w:pPr>
        <w:pStyle w:val="0"/>
        <w:spacing w:before="200" w:line-rule="auto"/>
        <w:ind w:firstLine="540"/>
        <w:jc w:val="both"/>
      </w:pPr>
      <w:r>
        <w:rPr>
          <w:sz w:val="20"/>
        </w:rPr>
        <w:t xml:space="preserve">6) утверждает порядок использования доходов Фонда и иных не запрещенных законодательством Российской Федерации поступлений, в том числе устанавливает предельный процент доходов, получаемых от инвестирования средств компенсационного фонда, которые направляются на финансирование расходов, связанных с осуществлением функций и полномочий Фонда и обеспечением его текущей деятельности;</w:t>
      </w:r>
    </w:p>
    <w:p>
      <w:pPr>
        <w:pStyle w:val="0"/>
        <w:spacing w:before="200" w:line-rule="auto"/>
        <w:ind w:firstLine="540"/>
        <w:jc w:val="both"/>
      </w:pPr>
      <w:r>
        <w:rPr>
          <w:sz w:val="20"/>
        </w:rPr>
        <w:t xml:space="preserve">7) ежегодно устанавливает размер средств, необходимых для обеспечения деятельности Фонда, в том числе определяет размер имущества Фонда, предусмотренный </w:t>
      </w:r>
      <w:hyperlink w:history="0" r:id="rId7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пунктом 5 части 8 статьи 4</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bookmarkStart w:id="251" w:name="P251"/>
    <w:bookmarkEnd w:id="251"/>
    <w:p>
      <w:pPr>
        <w:pStyle w:val="0"/>
        <w:spacing w:before="200" w:line-rule="auto"/>
        <w:ind w:firstLine="540"/>
        <w:jc w:val="both"/>
      </w:pPr>
      <w:r>
        <w:rPr>
          <w:sz w:val="20"/>
        </w:rPr>
        <w:t xml:space="preserve">8) принимает решение о безвозмездной передаче части имущества Фонда в собственность Российской Федерации в соответствии с порядком, утвержденным Правительством Российской Федерации;</w:t>
      </w:r>
    </w:p>
    <w:p>
      <w:pPr>
        <w:pStyle w:val="0"/>
        <w:spacing w:before="200" w:line-rule="auto"/>
        <w:ind w:firstLine="540"/>
        <w:jc w:val="both"/>
      </w:pPr>
      <w:r>
        <w:rPr>
          <w:sz w:val="20"/>
        </w:rPr>
        <w:t xml:space="preserve">9) устанавливает порядок осуществления сделок, предусматривающих безвозмездную передачу имущества Фонда третьим лицам, за исключением случая, предусмотренного </w:t>
      </w:r>
      <w:hyperlink w:history="0" w:anchor="P251" w:tooltip="8) принимает решение о безвозмездной передаче части имущества Фонда в собственность Российской Федерации в соответствии с порядком, утвержденным Правительством Российской Федерации;">
        <w:r>
          <w:rPr>
            <w:sz w:val="20"/>
            <w:color w:val="0000ff"/>
          </w:rPr>
          <w:t xml:space="preserve">подпунктом 8</w:t>
        </w:r>
      </w:hyperlink>
      <w:r>
        <w:rPr>
          <w:sz w:val="20"/>
        </w:rPr>
        <w:t xml:space="preserve"> настоящего пункта;</w:t>
      </w:r>
    </w:p>
    <w:p>
      <w:pPr>
        <w:pStyle w:val="0"/>
        <w:spacing w:before="200" w:line-rule="auto"/>
        <w:ind w:firstLine="540"/>
        <w:jc w:val="both"/>
      </w:pPr>
      <w:r>
        <w:rPr>
          <w:sz w:val="20"/>
        </w:rPr>
        <w:t xml:space="preserve">10) принимает решение о выпуске, размещении Фондом облигаций в соответствии с законодательством Российской Федерации и об утверждении программы облигаций;</w:t>
      </w:r>
    </w:p>
    <w:p>
      <w:pPr>
        <w:pStyle w:val="0"/>
        <w:spacing w:before="200" w:line-rule="auto"/>
        <w:ind w:firstLine="540"/>
        <w:jc w:val="both"/>
      </w:pPr>
      <w:r>
        <w:rPr>
          <w:sz w:val="20"/>
        </w:rPr>
        <w:t xml:space="preserve">11) принимает решения об одобрении сделок, в совершении которых имеется заинтересованность генерального директора Фонда, члена наблюдательного совета Фонда или члена правления Фонда (далее - сделка, в совершении которой имеется заинтересованность);</w:t>
      </w:r>
    </w:p>
    <w:p>
      <w:pPr>
        <w:pStyle w:val="0"/>
        <w:spacing w:before="200" w:line-rule="auto"/>
        <w:ind w:firstLine="540"/>
        <w:jc w:val="both"/>
      </w:pPr>
      <w:r>
        <w:rPr>
          <w:sz w:val="20"/>
        </w:rPr>
        <w:t xml:space="preserve">12) утверждает регламент деятельности наблюдательного совета Фонда;</w:t>
      </w:r>
    </w:p>
    <w:p>
      <w:pPr>
        <w:pStyle w:val="0"/>
        <w:spacing w:before="200" w:line-rule="auto"/>
        <w:ind w:firstLine="540"/>
        <w:jc w:val="both"/>
      </w:pPr>
      <w:r>
        <w:rPr>
          <w:sz w:val="20"/>
        </w:rPr>
        <w:t xml:space="preserve">13) утверждает положение о закупке Фондом товаров, работ и услуг;</w:t>
      </w:r>
    </w:p>
    <w:p>
      <w:pPr>
        <w:pStyle w:val="0"/>
        <w:spacing w:before="200" w:line-rule="auto"/>
        <w:ind w:firstLine="540"/>
        <w:jc w:val="both"/>
      </w:pPr>
      <w:r>
        <w:rPr>
          <w:sz w:val="20"/>
        </w:rPr>
        <w:t xml:space="preserve">14) утверждает положение о системе внутреннего контроля Фонда;</w:t>
      </w:r>
    </w:p>
    <w:p>
      <w:pPr>
        <w:pStyle w:val="0"/>
        <w:spacing w:before="200" w:line-rule="auto"/>
        <w:ind w:firstLine="540"/>
        <w:jc w:val="both"/>
      </w:pPr>
      <w:r>
        <w:rPr>
          <w:sz w:val="20"/>
        </w:rPr>
        <w:t xml:space="preserve">15) утверждает положение о службе внутреннего аудита Фонда, годовой план деятельности службы внутреннего аудита Фонда и ее годовой отчет;</w:t>
      </w:r>
    </w:p>
    <w:p>
      <w:pPr>
        <w:pStyle w:val="0"/>
        <w:spacing w:before="200" w:line-rule="auto"/>
        <w:ind w:firstLine="540"/>
        <w:jc w:val="both"/>
      </w:pPr>
      <w:r>
        <w:rPr>
          <w:sz w:val="20"/>
        </w:rPr>
        <w:t xml:space="preserve">16) принимает решение о создании и ликвидации филиалов Фонда, об открытии и о закрытии представительств Фонда;</w:t>
      </w:r>
    </w:p>
    <w:p>
      <w:pPr>
        <w:pStyle w:val="0"/>
        <w:spacing w:before="200" w:line-rule="auto"/>
        <w:ind w:firstLine="540"/>
        <w:jc w:val="both"/>
      </w:pPr>
      <w:r>
        <w:rPr>
          <w:sz w:val="20"/>
        </w:rPr>
        <w:t xml:space="preserve">17) утверждает положения о филиалах и представительствах Фонда;</w:t>
      </w:r>
    </w:p>
    <w:p>
      <w:pPr>
        <w:pStyle w:val="0"/>
        <w:spacing w:before="200" w:line-rule="auto"/>
        <w:ind w:firstLine="540"/>
        <w:jc w:val="both"/>
      </w:pPr>
      <w:r>
        <w:rPr>
          <w:sz w:val="20"/>
        </w:rPr>
        <w:t xml:space="preserve">18) принимает решения об учреждении Фондом юридических лиц, участии и условиях участия Фонда в корпоративных юридических лицах, в том числе об изменении, о прекращении и об определении условий прекращения участия в таких юридических лицах;</w:t>
      </w:r>
    </w:p>
    <w:p>
      <w:pPr>
        <w:pStyle w:val="0"/>
        <w:spacing w:before="200" w:line-rule="auto"/>
        <w:ind w:firstLine="540"/>
        <w:jc w:val="both"/>
      </w:pPr>
      <w:r>
        <w:rPr>
          <w:sz w:val="20"/>
        </w:rPr>
        <w:t xml:space="preserve">19) утверждает положение о правлении Фонда;</w:t>
      </w:r>
    </w:p>
    <w:p>
      <w:pPr>
        <w:pStyle w:val="0"/>
        <w:spacing w:before="200" w:line-rule="auto"/>
        <w:ind w:firstLine="540"/>
        <w:jc w:val="both"/>
      </w:pPr>
      <w:r>
        <w:rPr>
          <w:sz w:val="20"/>
        </w:rPr>
        <w:t xml:space="preserve">20) по представлению генерального директора Фонда назначает на должность и освобождает от должности членов правления Фонда, за исключением генерального директора Фонда, утверждает размер вознаграждения членов правления Фонда и (или) компенсации произведенных ими расходов;</w:t>
      </w:r>
    </w:p>
    <w:p>
      <w:pPr>
        <w:pStyle w:val="0"/>
        <w:spacing w:before="200" w:line-rule="auto"/>
        <w:ind w:firstLine="540"/>
        <w:jc w:val="both"/>
      </w:pPr>
      <w:r>
        <w:rPr>
          <w:sz w:val="20"/>
        </w:rPr>
        <w:t xml:space="preserve">21) устанавливает порядок информирования наблюдательного совета Фонда правлением Фонда о вопросах, рассмотренных на заседаниях правления Фонда, и принятых им решениях;</w:t>
      </w:r>
    </w:p>
    <w:p>
      <w:pPr>
        <w:pStyle w:val="0"/>
        <w:spacing w:before="200" w:line-rule="auto"/>
        <w:ind w:firstLine="540"/>
        <w:jc w:val="both"/>
      </w:pPr>
      <w:r>
        <w:rPr>
          <w:sz w:val="20"/>
        </w:rPr>
        <w:t xml:space="preserve">22) заслушивает отчеты генерального директора Фонда по вопросам деятельности Фонда;</w:t>
      </w:r>
    </w:p>
    <w:p>
      <w:pPr>
        <w:pStyle w:val="0"/>
        <w:spacing w:before="200" w:line-rule="auto"/>
        <w:ind w:firstLine="540"/>
        <w:jc w:val="both"/>
      </w:pPr>
      <w:r>
        <w:rPr>
          <w:sz w:val="20"/>
        </w:rPr>
        <w:t xml:space="preserve">23) рассматривает информацию по вопросам осуществления деятельности Фонда, исполнения решений, принятых органами управления Фонда, вырабатывает рекомендации для других органов управления Фонда по итогам рассмотрения вопросов на заседаниях наблюдательного совета Фонда;</w:t>
      </w:r>
    </w:p>
    <w:p>
      <w:pPr>
        <w:pStyle w:val="0"/>
        <w:spacing w:before="200" w:line-rule="auto"/>
        <w:ind w:firstLine="540"/>
        <w:jc w:val="both"/>
      </w:pPr>
      <w:r>
        <w:rPr>
          <w:sz w:val="20"/>
        </w:rPr>
        <w:t xml:space="preserve">24) определяет порядок утверждения конкурсной документации для отбора аудиторской организации (аудитора Фонда) и утверждает аудиторскую организацию (аудитора Фонда), отобранную на конкурсной основе в целях проведения обязательного аудита годовой бухгалтерской (финансовой) отчетности Фонда, а также годовой консолидированной финансовой отчетности Фонда;</w:t>
      </w:r>
    </w:p>
    <w:p>
      <w:pPr>
        <w:pStyle w:val="0"/>
        <w:spacing w:before="200" w:line-rule="auto"/>
        <w:ind w:firstLine="540"/>
        <w:jc w:val="both"/>
      </w:pPr>
      <w:r>
        <w:rPr>
          <w:sz w:val="20"/>
        </w:rPr>
        <w:t xml:space="preserve">25) принимает решения о проведении внеочередных аудиторских проверок ведения бухгалтерского учета и бухгалтерской (финансовой) отчетности Фонда;</w:t>
      </w:r>
    </w:p>
    <w:p>
      <w:pPr>
        <w:pStyle w:val="0"/>
        <w:spacing w:before="200" w:line-rule="auto"/>
        <w:ind w:firstLine="540"/>
        <w:jc w:val="both"/>
      </w:pPr>
      <w:r>
        <w:rPr>
          <w:sz w:val="20"/>
        </w:rPr>
        <w:t xml:space="preserve">26) принимает решения о назначении председателя и членов комитетов и комиссий при наблюдательном совете Фонда и о прекращении их полномочий;</w:t>
      </w:r>
    </w:p>
    <w:p>
      <w:pPr>
        <w:pStyle w:val="0"/>
        <w:spacing w:before="200" w:line-rule="auto"/>
        <w:ind w:firstLine="540"/>
        <w:jc w:val="both"/>
      </w:pPr>
      <w:r>
        <w:rPr>
          <w:sz w:val="20"/>
        </w:rPr>
        <w:t xml:space="preserve">27) принимает решение о назначении на должность и освобождении от должности руководителя службы внутреннего аудита Фонда и определяет условия трудового договора, заключаемого с ним;</w:t>
      </w:r>
    </w:p>
    <w:p>
      <w:pPr>
        <w:pStyle w:val="0"/>
        <w:spacing w:before="200" w:line-rule="auto"/>
        <w:ind w:firstLine="540"/>
        <w:jc w:val="both"/>
      </w:pPr>
      <w:r>
        <w:rPr>
          <w:sz w:val="20"/>
        </w:rPr>
        <w:t xml:space="preserve">28) утверждает основы системы оплаты труда работников Фонда, предусматривающие зависимость оплаты их труда от достижения ключевых показателей эффективности деятельности Фонда, утверждает ключевые показатели эффективности деятельности Фонда, используемые для целей премирования работников Фонда, и методики (порядок) их расчета;</w:t>
      </w:r>
    </w:p>
    <w:p>
      <w:pPr>
        <w:pStyle w:val="0"/>
        <w:spacing w:before="200" w:line-rule="auto"/>
        <w:ind w:firstLine="540"/>
        <w:jc w:val="both"/>
      </w:pPr>
      <w:r>
        <w:rPr>
          <w:sz w:val="20"/>
        </w:rPr>
        <w:t xml:space="preserve">29) определяет условия трудового договора, заключаемого с генеральным директором Фонда, и поручает председателю наблюдательного совета Фонда заключить его;</w:t>
      </w:r>
    </w:p>
    <w:p>
      <w:pPr>
        <w:pStyle w:val="0"/>
        <w:spacing w:before="200" w:line-rule="auto"/>
        <w:ind w:firstLine="540"/>
        <w:jc w:val="both"/>
      </w:pPr>
      <w:r>
        <w:rPr>
          <w:sz w:val="20"/>
        </w:rPr>
        <w:t xml:space="preserve">30) подготавливает предложения о внесении изменений в Положение о наблюдательном совете Фонда и направляет указанные предложения в Правительство Российской Федерации;</w:t>
      </w:r>
    </w:p>
    <w:p>
      <w:pPr>
        <w:pStyle w:val="0"/>
        <w:spacing w:before="200" w:line-rule="auto"/>
        <w:ind w:firstLine="540"/>
        <w:jc w:val="both"/>
      </w:pPr>
      <w:r>
        <w:rPr>
          <w:sz w:val="20"/>
        </w:rPr>
        <w:t xml:space="preserve">31) принимает решение о финансировании либо о нецелесообразности финансирования мероприятий, предусмотренных </w:t>
      </w:r>
      <w:hyperlink w:history="0" r:id="rId7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частью 2 статьи 13.1</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за исключением случая, предусмотренного </w:t>
      </w:r>
      <w:hyperlink w:history="0" w:anchor="P323" w:tooltip="12) принятие решений о финансировании мероприятий, предусматривающих направление денежных средств Фонда на погашение расходов в соответствии с пунктом 3 статьи 59, пунктом 3.2 статьи 201.1 Федерального закона &quot;О несостоятельности (банкротстве)&quot;;">
        <w:r>
          <w:rPr>
            <w:sz w:val="20"/>
            <w:color w:val="0000ff"/>
          </w:rPr>
          <w:t xml:space="preserve">подпунктом 12 пункта 44</w:t>
        </w:r>
      </w:hyperlink>
      <w:r>
        <w:rPr>
          <w:sz w:val="20"/>
        </w:rPr>
        <w:t xml:space="preserve"> настоящего устава;</w:t>
      </w:r>
    </w:p>
    <w:p>
      <w:pPr>
        <w:pStyle w:val="0"/>
        <w:spacing w:before="200" w:line-rule="auto"/>
        <w:ind w:firstLine="540"/>
        <w:jc w:val="both"/>
      </w:pPr>
      <w:r>
        <w:rPr>
          <w:sz w:val="20"/>
        </w:rPr>
        <w:t xml:space="preserve">31(1)) принимает решение об изменении решения о финансировании мероприятий по завершению строительства объекта незавершенного строительства на решение о финансировании мероприятий, указанных в </w:t>
      </w:r>
      <w:hyperlink w:history="0" r:id="rId76"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пункте 5 части 2 статьи 13.1</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либо об отказе в изменении такого решения;</w:t>
      </w:r>
    </w:p>
    <w:p>
      <w:pPr>
        <w:pStyle w:val="0"/>
        <w:jc w:val="both"/>
      </w:pPr>
      <w:r>
        <w:rPr>
          <w:sz w:val="20"/>
        </w:rPr>
        <w:t xml:space="preserve">(пп. 31(1) введен </w:t>
      </w:r>
      <w:hyperlink w:history="0" r:id="rId77"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26.04.2023 N 661)</w:t>
      </w:r>
    </w:p>
    <w:p>
      <w:pPr>
        <w:pStyle w:val="0"/>
        <w:spacing w:before="200" w:line-rule="auto"/>
        <w:ind w:firstLine="540"/>
        <w:jc w:val="both"/>
      </w:pPr>
      <w:r>
        <w:rPr>
          <w:sz w:val="20"/>
        </w:rPr>
        <w:t xml:space="preserve">32) принимает решение о выплате за счет имущества Фонда возмещения гражданам - членам жилищно-строительных кооперативов или иных специализированных кооперативов в случае, предусмотренном </w:t>
      </w:r>
      <w:hyperlink w:history="0" r:id="rId78"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пунктом 4 части 3 статьи 3</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33) устанавливает норму компенсации затрат банков-агентов, привлекаемых Фондом для приема заявлений о выплате возмещения, а также для выплаты такого возмещения, которую не должен превышать размер оплаты услуг банка-агента;</w:t>
      </w:r>
    </w:p>
    <w:p>
      <w:pPr>
        <w:pStyle w:val="0"/>
        <w:spacing w:before="200" w:line-rule="auto"/>
        <w:ind w:firstLine="540"/>
        <w:jc w:val="both"/>
      </w:pPr>
      <w:r>
        <w:rPr>
          <w:sz w:val="20"/>
        </w:rPr>
        <w:t xml:space="preserve">34) устанавливает порядок принятия Фондом решения о финансировании расходов, предусмотренных </w:t>
      </w:r>
      <w:hyperlink w:history="0" r:id="rId7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3.3 статьи 201.1</w:t>
        </w:r>
      </w:hyperlink>
      <w:r>
        <w:rPr>
          <w:sz w:val="20"/>
        </w:rPr>
        <w:t xml:space="preserve"> Федерального закона "О несостоятельности (банкротстве)", и об определении предельного размера такого финансирования;</w:t>
      </w:r>
    </w:p>
    <w:p>
      <w:pPr>
        <w:pStyle w:val="0"/>
        <w:spacing w:before="200" w:line-rule="auto"/>
        <w:ind w:firstLine="540"/>
        <w:jc w:val="both"/>
      </w:pPr>
      <w:r>
        <w:rPr>
          <w:sz w:val="20"/>
        </w:rPr>
        <w:t xml:space="preserve">35) утверждает порядок реализации Фондом имущества, приобретенного Фондом по основаниям, предусмотренным </w:t>
      </w:r>
      <w:hyperlink w:history="0" r:id="rId8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 несостоятельности (банкротстве)";</w:t>
      </w:r>
    </w:p>
    <w:p>
      <w:pPr>
        <w:pStyle w:val="0"/>
        <w:spacing w:before="200" w:line-rule="auto"/>
        <w:ind w:firstLine="540"/>
        <w:jc w:val="both"/>
      </w:pPr>
      <w:r>
        <w:rPr>
          <w:sz w:val="20"/>
        </w:rPr>
        <w:t xml:space="preserve">36) утверждает методику определения способа дальнейшего распоряжения имуществом, передаваемым Фонду по основаниям, предусмотренным </w:t>
      </w:r>
      <w:hyperlink w:history="0" r:id="rId8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 несостоятельности (банкротстве)", в соответствии со </w:t>
      </w:r>
      <w:hyperlink w:history="0" r:id="rId8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статьями 3</w:t>
        </w:r>
      </w:hyperlink>
      <w:r>
        <w:rPr>
          <w:sz w:val="20"/>
        </w:rPr>
        <w:t xml:space="preserve"> и </w:t>
      </w:r>
      <w:hyperlink w:history="0" r:id="rId83"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13.4</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37) принимает решение о выплате возмещения гражданам - участникам строительства, имеющим требования о передаче жилых помещений, машино-мест, а также нежилых помещений, в случае, предусмотренном </w:t>
      </w:r>
      <w:hyperlink w:history="0" r:id="rId8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пунктом 3 части 3 статьи 3</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38)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принимает решение о финансировании мероприятий по строительству многоквартирных домов и (или) иных объектов недвижимости на ином земельном участке, находящемся в государственной или муниципальной собственности и предоставляемом Фонду в аренду или безвозмездное пользование в соответствии с земельным законодательством для строительства многоквартирных домов и иных объектов недвижимости, в случае, предусмотренном </w:t>
      </w:r>
      <w:hyperlink w:history="0" r:id="rId85"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частью 1.1 статьи 9.1</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39) утверждает порядок осуществления мониторинга реализации субъектами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территориях субъектов Российской Федерации, на основании утвержденных высшими должностными лицами субъектов Российской Федерации (руководителями высших органов государственной власти субъектов Российской Федерации) в соответствии с </w:t>
      </w:r>
      <w:hyperlink w:history="0" r:id="rId8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4 статьи 23</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планов-графиков реализации таких мероприятий;</w:t>
      </w:r>
    </w:p>
    <w:p>
      <w:pPr>
        <w:pStyle w:val="0"/>
        <w:spacing w:before="200" w:line-rule="auto"/>
        <w:ind w:firstLine="540"/>
        <w:jc w:val="both"/>
      </w:pPr>
      <w:r>
        <w:rPr>
          <w:sz w:val="20"/>
        </w:rPr>
        <w:t xml:space="preserve">40) определяет порядок и условия привлечения кредитных и иных заемных средств в целях предоставления финансовой поддержки субъектам Российской Федерации на переселение граждан из аварийного жилищного фонда в соответствии с </w:t>
      </w:r>
      <w:hyperlink w:history="0" r:id="rId87"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частью 5 статьи 19</w:t>
        </w:r>
      </w:hyperlink>
      <w:r>
        <w:rPr>
          <w:sz w:val="20"/>
        </w:rPr>
        <w:t xml:space="preserve"> Федерального закона "О Фонде содействия реформированию жилищно-коммунального хозяйства";</w:t>
      </w:r>
    </w:p>
    <w:p>
      <w:pPr>
        <w:pStyle w:val="0"/>
        <w:spacing w:before="200" w:line-rule="auto"/>
        <w:ind w:firstLine="540"/>
        <w:jc w:val="both"/>
      </w:pPr>
      <w:r>
        <w:rPr>
          <w:sz w:val="20"/>
        </w:rPr>
        <w:t xml:space="preserve">41) рассматривает результаты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а также выполнения условий предоставления финансовой поддержки за счет средств Фонда;</w:t>
      </w:r>
    </w:p>
    <w:p>
      <w:pPr>
        <w:pStyle w:val="0"/>
        <w:spacing w:before="200" w:line-rule="auto"/>
        <w:ind w:firstLine="540"/>
        <w:jc w:val="both"/>
      </w:pPr>
      <w:r>
        <w:rPr>
          <w:sz w:val="20"/>
        </w:rPr>
        <w:t xml:space="preserve">42) рассматривает иные вопросы и принимает иные решения в случаях, предусмотренных федеральными законами, нормативными правовыми актами Правительства Российской Федерации, настоящим уставом и </w:t>
      </w:r>
      <w:hyperlink w:history="0" w:anchor="P42" w:tooltip="ПОЛОЖЕНИЕ">
        <w:r>
          <w:rPr>
            <w:sz w:val="20"/>
            <w:color w:val="0000ff"/>
          </w:rPr>
          <w:t xml:space="preserve">Положением</w:t>
        </w:r>
      </w:hyperlink>
      <w:r>
        <w:rPr>
          <w:sz w:val="20"/>
        </w:rPr>
        <w:t xml:space="preserve"> о наблюдательном совете Фонда.</w:t>
      </w:r>
    </w:p>
    <w:p>
      <w:pPr>
        <w:pStyle w:val="0"/>
        <w:spacing w:before="200" w:line-rule="auto"/>
        <w:ind w:firstLine="540"/>
        <w:jc w:val="both"/>
      </w:pPr>
      <w:r>
        <w:rPr>
          <w:sz w:val="20"/>
        </w:rPr>
        <w:t xml:space="preserve">30. Количественный состав наблюдательного совета Фонда не должен превышать 9 членов. Состав наблюдательного совета Фонда утверждается Правительством Российской Федерации по предложению Министерства строительства и жилищно-коммунального хозяйства Российской Федерации сроком на 3 года. В состав наблюдательного совета Фонда входит генеральный директор Фонда, являющийся членом наблюдательного совета Фонда по должности.</w:t>
      </w:r>
    </w:p>
    <w:p>
      <w:pPr>
        <w:pStyle w:val="0"/>
        <w:spacing w:before="200" w:line-rule="auto"/>
        <w:ind w:firstLine="540"/>
        <w:jc w:val="both"/>
      </w:pPr>
      <w:r>
        <w:rPr>
          <w:sz w:val="20"/>
        </w:rPr>
        <w:t xml:space="preserve">31.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pPr>
        <w:pStyle w:val="0"/>
        <w:spacing w:before="200" w:line-rule="auto"/>
        <w:ind w:firstLine="540"/>
        <w:jc w:val="both"/>
      </w:pPr>
      <w:r>
        <w:rPr>
          <w:sz w:val="20"/>
        </w:rPr>
        <w:t xml:space="preserve">32. Заседания наблюдательного совета Фонда проводятся по мере необходимости, но не реже 2 раз в год.</w:t>
      </w:r>
    </w:p>
    <w:p>
      <w:pPr>
        <w:pStyle w:val="0"/>
        <w:spacing w:before="200" w:line-rule="auto"/>
        <w:ind w:firstLine="540"/>
        <w:jc w:val="both"/>
      </w:pPr>
      <w:r>
        <w:rPr>
          <w:sz w:val="20"/>
        </w:rPr>
        <w:t xml:space="preserve">Члены наблюдательного совета Фонда письменно извещаются о назначенном заседании наблюдательного совета Фонда не менее чем за 5 рабочих дней до дня его проведения, если иное решение не принято председателем наблюдательного совета Фонда. Извещение и отправка материалов осуществляются путем направления заказных писем, телеграмм, телефонограмм, а также по каналам электронной связи.</w:t>
      </w:r>
    </w:p>
    <w:p>
      <w:pPr>
        <w:pStyle w:val="0"/>
        <w:spacing w:before="200" w:line-rule="auto"/>
        <w:ind w:firstLine="540"/>
        <w:jc w:val="both"/>
      </w:pPr>
      <w:r>
        <w:rPr>
          <w:sz w:val="20"/>
        </w:rPr>
        <w:t xml:space="preserve">33. Заседание наблюдательного совета Фонда правомочно, если на нем присутствует более половины членов наблюдательного совета Фонда.</w:t>
      </w:r>
    </w:p>
    <w:p>
      <w:pPr>
        <w:pStyle w:val="0"/>
        <w:spacing w:before="200" w:line-rule="auto"/>
        <w:ind w:firstLine="540"/>
        <w:jc w:val="both"/>
      </w:pPr>
      <w:r>
        <w:rPr>
          <w:sz w:val="20"/>
        </w:rPr>
        <w:t xml:space="preserve">34. Решения наблюдательного совета Фонда принимаются простым большинством голосов присутствующих на заседании членов наблюдательного совета Фонда и отсутствующих членов наблюдательного совета Фонда, представивших свое мнение в письменной форме.</w:t>
      </w:r>
    </w:p>
    <w:p>
      <w:pPr>
        <w:pStyle w:val="0"/>
        <w:spacing w:before="200" w:line-rule="auto"/>
        <w:ind w:firstLine="540"/>
        <w:jc w:val="both"/>
      </w:pPr>
      <w:r>
        <w:rPr>
          <w:sz w:val="20"/>
        </w:rPr>
        <w:t xml:space="preserve">35. В случае равенства голосов членов наблюдательного совета Фонда голос председателя наблюдательного совета Фонда является решающим.</w:t>
      </w:r>
    </w:p>
    <w:p>
      <w:pPr>
        <w:pStyle w:val="0"/>
        <w:spacing w:before="200" w:line-rule="auto"/>
        <w:ind w:firstLine="540"/>
        <w:jc w:val="both"/>
      </w:pPr>
      <w:r>
        <w:rPr>
          <w:sz w:val="20"/>
        </w:rPr>
        <w:t xml:space="preserve">Наблюдательный совет Фонда может принимать решения путем проведения заочного голосования.</w:t>
      </w:r>
    </w:p>
    <w:p>
      <w:pPr>
        <w:pStyle w:val="0"/>
        <w:spacing w:before="200" w:line-rule="auto"/>
        <w:ind w:firstLine="540"/>
        <w:jc w:val="both"/>
      </w:pPr>
      <w:r>
        <w:rPr>
          <w:sz w:val="20"/>
        </w:rPr>
        <w:t xml:space="preserve">36. Порядок работы и проведения заседаний наблюдательного совета Фонда, а также проведения заочного голосования определяется </w:t>
      </w:r>
      <w:hyperlink w:history="0" w:anchor="P42" w:tooltip="ПОЛОЖЕНИЕ">
        <w:r>
          <w:rPr>
            <w:sz w:val="20"/>
            <w:color w:val="0000ff"/>
          </w:rPr>
          <w:t xml:space="preserve">Положением</w:t>
        </w:r>
      </w:hyperlink>
      <w:r>
        <w:rPr>
          <w:sz w:val="20"/>
        </w:rPr>
        <w:t xml:space="preserve"> о наблюдательном совете Фонда и регламентом деятельности наблюдательного совета Фонда.</w:t>
      </w:r>
    </w:p>
    <w:p>
      <w:pPr>
        <w:pStyle w:val="0"/>
        <w:spacing w:before="200" w:line-rule="auto"/>
        <w:ind w:firstLine="540"/>
        <w:jc w:val="both"/>
      </w:pPr>
      <w:r>
        <w:rPr>
          <w:sz w:val="20"/>
        </w:rPr>
        <w:t xml:space="preserve">37. Организационно-техническое обеспечение деятельности наблюдательного совета Фонда осуществляет секретарь наблюдательного совета Фонда. Назначение секретаря наблюдательного совета Фонда и прекращение его полномочий осуществляются по решению наблюдательного совета Фонда по предложению председателя наблюдательного совета Фонда.</w:t>
      </w:r>
    </w:p>
    <w:p>
      <w:pPr>
        <w:pStyle w:val="0"/>
        <w:spacing w:before="200" w:line-rule="auto"/>
        <w:ind w:firstLine="540"/>
        <w:jc w:val="both"/>
      </w:pPr>
      <w:r>
        <w:rPr>
          <w:sz w:val="20"/>
        </w:rPr>
        <w:t xml:space="preserve">38. Наблюдательный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порядок компенсации расходов членов таких комитетов и комиссий, связанных с исполнением ими своих функций, устанавливаются наблюдательным советом Фонда.</w:t>
      </w:r>
    </w:p>
    <w:p>
      <w:pPr>
        <w:pStyle w:val="0"/>
        <w:spacing w:before="200" w:line-rule="auto"/>
        <w:ind w:firstLine="540"/>
        <w:jc w:val="both"/>
      </w:pPr>
      <w:r>
        <w:rPr>
          <w:sz w:val="20"/>
        </w:rPr>
        <w:t xml:space="preserve">39. При наблюдательном совете Фонда создается комитет по аудиту, в задачи которого входят в том числе обеспечение координации деятельности службы внутреннего аудита Фонда, рассмотрение и утверждение ее отчетов, оценка эффективности ее деятельности, предварительная проработка вопросов о назначении на должность и об освобождении от должности руководителя службы внутреннего аудита Фонда.</w:t>
      </w:r>
    </w:p>
    <w:p>
      <w:pPr>
        <w:pStyle w:val="0"/>
        <w:spacing w:before="200" w:line-rule="auto"/>
        <w:ind w:firstLine="540"/>
        <w:jc w:val="both"/>
      </w:pPr>
      <w:r>
        <w:rPr>
          <w:sz w:val="20"/>
        </w:rPr>
        <w:t xml:space="preserve">40. Члены наблюдательного совета Фонда имеют право:</w:t>
      </w:r>
    </w:p>
    <w:p>
      <w:pPr>
        <w:pStyle w:val="0"/>
        <w:spacing w:before="200" w:line-rule="auto"/>
        <w:ind w:firstLine="540"/>
        <w:jc w:val="both"/>
      </w:pPr>
      <w:r>
        <w:rPr>
          <w:sz w:val="20"/>
        </w:rPr>
        <w:t xml:space="preserve">1) получать информацию о деятельности Фонда, знакомиться с документами бухгалтерской (финансовой) отчетности и бухгалтерского учета и иными документами Фонда;</w:t>
      </w:r>
    </w:p>
    <w:p>
      <w:pPr>
        <w:pStyle w:val="0"/>
        <w:spacing w:before="200" w:line-rule="auto"/>
        <w:ind w:firstLine="540"/>
        <w:jc w:val="both"/>
      </w:pPr>
      <w:r>
        <w:rPr>
          <w:sz w:val="20"/>
        </w:rPr>
        <w:t xml:space="preserve">2) требовать возмещения лицами, указанными в </w:t>
      </w:r>
      <w:hyperlink w:history="0" r:id="rId88"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 53.1</w:t>
        </w:r>
      </w:hyperlink>
      <w:r>
        <w:rPr>
          <w:sz w:val="20"/>
        </w:rPr>
        <w:t xml:space="preserve"> Гражданского кодекса Российской Федерации, причиненных Фонду убытков;</w:t>
      </w:r>
    </w:p>
    <w:p>
      <w:pPr>
        <w:pStyle w:val="0"/>
        <w:spacing w:before="200" w:line-rule="auto"/>
        <w:ind w:firstLine="540"/>
        <w:jc w:val="both"/>
      </w:pPr>
      <w:r>
        <w:rPr>
          <w:sz w:val="20"/>
        </w:rPr>
        <w:t xml:space="preserve">3) оспаривать совершенные Фондом сделки по основаниям, предусмотренным </w:t>
      </w:r>
      <w:hyperlink w:history="0" r:id="rId89"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174</w:t>
        </w:r>
      </w:hyperlink>
      <w:r>
        <w:rPr>
          <w:sz w:val="20"/>
        </w:rPr>
        <w:t xml:space="preserve"> Гражданского кодекса Российской Федерации, требовать применения последствий их недействительности, а также требовать применения последствий недействительности ничтожных сделок Фонда в порядке, установленном гражданским законодательством.</w:t>
      </w:r>
    </w:p>
    <w:p>
      <w:pPr>
        <w:pStyle w:val="0"/>
        <w:spacing w:before="200" w:line-rule="auto"/>
        <w:ind w:firstLine="540"/>
        <w:jc w:val="both"/>
      </w:pPr>
      <w:r>
        <w:rPr>
          <w:sz w:val="20"/>
        </w:rPr>
        <w:t xml:space="preserve">41. Член наблюдательного совета Фонда обязан разумно и добросовестно действовать в интересах Фонда, а также не разглашать конфиденциальную информацию, в том числе после прекращения членства в наблюдательном совете Фонда.</w:t>
      </w:r>
    </w:p>
    <w:p>
      <w:pPr>
        <w:pStyle w:val="0"/>
        <w:spacing w:before="200" w:line-rule="auto"/>
        <w:ind w:firstLine="540"/>
        <w:jc w:val="both"/>
      </w:pPr>
      <w:r>
        <w:rPr>
          <w:sz w:val="20"/>
        </w:rPr>
        <w:t xml:space="preserve">42. Наблюдательный совет Фонда осуществляет свою деятельность на общественных началах.</w:t>
      </w:r>
    </w:p>
    <w:p>
      <w:pPr>
        <w:pStyle w:val="0"/>
        <w:jc w:val="both"/>
      </w:pPr>
      <w:r>
        <w:rPr>
          <w:sz w:val="20"/>
        </w:rPr>
      </w:r>
    </w:p>
    <w:p>
      <w:pPr>
        <w:pStyle w:val="2"/>
        <w:outlineLvl w:val="1"/>
        <w:jc w:val="center"/>
      </w:pPr>
      <w:r>
        <w:rPr>
          <w:sz w:val="20"/>
        </w:rPr>
        <w:t xml:space="preserve">V. Правление Фонда</w:t>
      </w:r>
    </w:p>
    <w:p>
      <w:pPr>
        <w:pStyle w:val="0"/>
        <w:jc w:val="both"/>
      </w:pPr>
      <w:r>
        <w:rPr>
          <w:sz w:val="20"/>
        </w:rPr>
      </w:r>
    </w:p>
    <w:p>
      <w:pPr>
        <w:pStyle w:val="0"/>
        <w:ind w:firstLine="540"/>
        <w:jc w:val="both"/>
      </w:pPr>
      <w:r>
        <w:rPr>
          <w:sz w:val="20"/>
        </w:rPr>
        <w:t xml:space="preserve">43. Коллегиальным исполнительным органом управления Фонда является правление Фонда.</w:t>
      </w:r>
    </w:p>
    <w:p>
      <w:pPr>
        <w:pStyle w:val="0"/>
        <w:spacing w:before="200" w:line-rule="auto"/>
        <w:ind w:firstLine="540"/>
        <w:jc w:val="both"/>
      </w:pPr>
      <w:r>
        <w:rPr>
          <w:sz w:val="20"/>
        </w:rPr>
        <w:t xml:space="preserve">44. К компетенции правления Фонда относятся следующие вопросы:</w:t>
      </w:r>
    </w:p>
    <w:p>
      <w:pPr>
        <w:pStyle w:val="0"/>
        <w:spacing w:before="200" w:line-rule="auto"/>
        <w:ind w:firstLine="540"/>
        <w:jc w:val="both"/>
      </w:pPr>
      <w:r>
        <w:rPr>
          <w:sz w:val="20"/>
        </w:rPr>
        <w:t xml:space="preserve">1) подготовка и представление на утверждение наблюдательного совета Фонда стратегии развития Фонда и годового финансового плана (бюджета) Фонда, а также вносимых в них изменений;</w:t>
      </w:r>
    </w:p>
    <w:p>
      <w:pPr>
        <w:pStyle w:val="0"/>
        <w:spacing w:before="200" w:line-rule="auto"/>
        <w:ind w:firstLine="540"/>
        <w:jc w:val="both"/>
      </w:pPr>
      <w:r>
        <w:rPr>
          <w:sz w:val="20"/>
        </w:rPr>
        <w:t xml:space="preserve">2) рассмотрение годового отчета Фонда и представление его на утверждение наблюдательным советом Фонда;</w:t>
      </w:r>
    </w:p>
    <w:p>
      <w:pPr>
        <w:pStyle w:val="0"/>
        <w:spacing w:before="200" w:line-rule="auto"/>
        <w:ind w:firstLine="540"/>
        <w:jc w:val="both"/>
      </w:pPr>
      <w:r>
        <w:rPr>
          <w:sz w:val="20"/>
        </w:rPr>
        <w:t xml:space="preserve">3) представление в наблюдательный совет Фонда предложений об использовании доходов Фонда и иных не запрещенных законодательством Российской Федерации поступлений;</w:t>
      </w:r>
    </w:p>
    <w:p>
      <w:pPr>
        <w:pStyle w:val="0"/>
        <w:spacing w:before="200" w:line-rule="auto"/>
        <w:ind w:firstLine="540"/>
        <w:jc w:val="both"/>
      </w:pPr>
      <w:r>
        <w:rPr>
          <w:sz w:val="20"/>
        </w:rPr>
        <w:t xml:space="preserve">4) представление в наблюдательный совет Фонда по его поручению отчетов по вопросам деятельности Фонда;</w:t>
      </w:r>
    </w:p>
    <w:p>
      <w:pPr>
        <w:pStyle w:val="0"/>
        <w:spacing w:before="200" w:line-rule="auto"/>
        <w:ind w:firstLine="540"/>
        <w:jc w:val="both"/>
      </w:pPr>
      <w:r>
        <w:rPr>
          <w:sz w:val="20"/>
        </w:rPr>
        <w:t xml:space="preserve">5) утверждение организационной структуры и штатного расписания Фонда;</w:t>
      </w:r>
    </w:p>
    <w:p>
      <w:pPr>
        <w:pStyle w:val="0"/>
        <w:spacing w:before="200" w:line-rule="auto"/>
        <w:ind w:firstLine="540"/>
        <w:jc w:val="both"/>
      </w:pPr>
      <w:r>
        <w:rPr>
          <w:sz w:val="20"/>
        </w:rPr>
        <w:t xml:space="preserve">6) утверждение внутренних документов Фонда, за исключением внутренних документов, утверждение которых относится к компетенции иных органов управления Фонда;</w:t>
      </w:r>
    </w:p>
    <w:p>
      <w:pPr>
        <w:pStyle w:val="0"/>
        <w:spacing w:before="200" w:line-rule="auto"/>
        <w:ind w:firstLine="540"/>
        <w:jc w:val="both"/>
      </w:pPr>
      <w:r>
        <w:rPr>
          <w:sz w:val="20"/>
        </w:rPr>
        <w:t xml:space="preserve">7) контроль за соблюдением утвержденного наблюдательным советом Фонда порядка использования доходов Фонда и иных не запрещенных законодательством Российской Федерации поступлений;</w:t>
      </w:r>
    </w:p>
    <w:p>
      <w:pPr>
        <w:pStyle w:val="0"/>
        <w:spacing w:before="200" w:line-rule="auto"/>
        <w:ind w:firstLine="540"/>
        <w:jc w:val="both"/>
      </w:pPr>
      <w:r>
        <w:rPr>
          <w:sz w:val="20"/>
        </w:rPr>
        <w:t xml:space="preserve">8) определение в соответствии с законодательством Российской Федерации условий приема на работу, увольнения с работы, условий трудового договора, дополнительного социального обеспечения, прав и обязанностей работников Фонда, за исключением генерального директора Фонда;</w:t>
      </w:r>
    </w:p>
    <w:p>
      <w:pPr>
        <w:pStyle w:val="0"/>
        <w:spacing w:before="200" w:line-rule="auto"/>
        <w:ind w:firstLine="540"/>
        <w:jc w:val="both"/>
      </w:pPr>
      <w:r>
        <w:rPr>
          <w:sz w:val="20"/>
        </w:rPr>
        <w:t xml:space="preserve">9) утверждение целевых программ Фонда, мониторинг их реализации и утверждение отчетов об их реализации;</w:t>
      </w:r>
    </w:p>
    <w:p>
      <w:pPr>
        <w:pStyle w:val="0"/>
        <w:spacing w:before="200" w:line-rule="auto"/>
        <w:ind w:firstLine="540"/>
        <w:jc w:val="both"/>
      </w:pPr>
      <w:r>
        <w:rPr>
          <w:sz w:val="20"/>
        </w:rPr>
        <w:t xml:space="preserve">10) определение кредитной организации для открытия номинального счета Фонда и счета Фонда, на котором учитываются денежные средства компенсационного фонда;</w:t>
      </w:r>
    </w:p>
    <w:p>
      <w:pPr>
        <w:pStyle w:val="0"/>
        <w:spacing w:before="200" w:line-rule="auto"/>
        <w:ind w:firstLine="540"/>
        <w:jc w:val="both"/>
      </w:pPr>
      <w:r>
        <w:rPr>
          <w:sz w:val="20"/>
        </w:rPr>
        <w:t xml:space="preserve">11) определение кредитных организаций, в депозиты которых могут инвестироваться временно свободные средства фонда;</w:t>
      </w:r>
    </w:p>
    <w:p>
      <w:pPr>
        <w:pStyle w:val="0"/>
        <w:jc w:val="both"/>
      </w:pPr>
      <w:r>
        <w:rPr>
          <w:sz w:val="20"/>
        </w:rPr>
        <w:t xml:space="preserve">(в ред. </w:t>
      </w:r>
      <w:hyperlink w:history="0" r:id="rId90"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Постановления</w:t>
        </w:r>
      </w:hyperlink>
      <w:r>
        <w:rPr>
          <w:sz w:val="20"/>
        </w:rPr>
        <w:t xml:space="preserve"> Правительства РФ от 23.07.2024 N 998)</w:t>
      </w:r>
    </w:p>
    <w:bookmarkStart w:id="323" w:name="P323"/>
    <w:bookmarkEnd w:id="323"/>
    <w:p>
      <w:pPr>
        <w:pStyle w:val="0"/>
        <w:spacing w:before="200" w:line-rule="auto"/>
        <w:ind w:firstLine="540"/>
        <w:jc w:val="both"/>
      </w:pPr>
      <w:r>
        <w:rPr>
          <w:sz w:val="20"/>
        </w:rPr>
        <w:t xml:space="preserve">12) принятие решений о финансировании мероприятий, предусматривающих направление денежных средств Фонда на погашение расходов в соответствии с </w:t>
      </w:r>
      <w:hyperlink w:history="0" r:id="rId9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3 статьи 59</w:t>
        </w:r>
      </w:hyperlink>
      <w:r>
        <w:rPr>
          <w:sz w:val="20"/>
        </w:rPr>
        <w:t xml:space="preserve">, </w:t>
      </w:r>
      <w:hyperlink w:history="0" r:id="rId9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3.2 статьи 201.1</w:t>
        </w:r>
      </w:hyperlink>
      <w:r>
        <w:rPr>
          <w:sz w:val="20"/>
        </w:rPr>
        <w:t xml:space="preserve"> Федерального закона "О несостоятельности (банкротстве)";</w:t>
      </w:r>
    </w:p>
    <w:p>
      <w:pPr>
        <w:pStyle w:val="0"/>
        <w:spacing w:before="200" w:line-rule="auto"/>
        <w:ind w:firstLine="540"/>
        <w:jc w:val="both"/>
      </w:pPr>
      <w:r>
        <w:rPr>
          <w:sz w:val="20"/>
        </w:rPr>
        <w:t xml:space="preserve">13) утверждение порядка взаимодействия Фонда с банками-агентами, привлеченными для осуществления приема от граждан заявлений о выплате возмещения и иных необходимых документов, а также для выплаты возмещения;</w:t>
      </w:r>
    </w:p>
    <w:p>
      <w:pPr>
        <w:pStyle w:val="0"/>
        <w:spacing w:before="200" w:line-rule="auto"/>
        <w:ind w:firstLine="540"/>
        <w:jc w:val="both"/>
      </w:pPr>
      <w:r>
        <w:rPr>
          <w:sz w:val="20"/>
        </w:rPr>
        <w:t xml:space="preserve">14) установление способов подачи гражданами заявлений о выплате возмещения и иных необходимых в соответствии с порядком, утверждаемым Правительством Российской Федерации, документов;</w:t>
      </w:r>
    </w:p>
    <w:p>
      <w:pPr>
        <w:pStyle w:val="0"/>
        <w:spacing w:before="200" w:line-rule="auto"/>
        <w:ind w:firstLine="540"/>
        <w:jc w:val="both"/>
      </w:pPr>
      <w:r>
        <w:rPr>
          <w:sz w:val="20"/>
        </w:rPr>
        <w:t xml:space="preserve">15) определение максимального размера авансовых платежей, предоставляемых в рамках сопровождаемой сделки, определенной в соответствии с </w:t>
      </w:r>
      <w:hyperlink w:history="0" r:id="rId93"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частью 2 статьи 9.2</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16) определение обязательных условий осуществления Фондом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в соответствии с </w:t>
      </w:r>
      <w:hyperlink w:history="0" r:id="rId9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частью 4 статьи 9.2</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17) определение способа дальнейшего распоряжения имуществом, передаваемым Фонду по основаниям, предусмотренным </w:t>
      </w:r>
      <w:hyperlink w:history="0" r:id="rId9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 несостоятельности (банкротстве)", </w:t>
      </w:r>
      <w:hyperlink w:history="0" r:id="rId96"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частью 3.12 статьи 13.1</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соответствии с </w:t>
      </w:r>
      <w:hyperlink w:history="0" r:id="rId97" w:tooltip="Федеральный закон от 30.12.2020 N 542-ФЗ &quot;О внесении изменений в статью 201.15-2-2 Федерального закона &quot;О несостоятельности (банкротстве)&quot; и статьи 3 и 13.4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частями 2</w:t>
        </w:r>
      </w:hyperlink>
      <w:r>
        <w:rPr>
          <w:sz w:val="20"/>
        </w:rPr>
        <w:t xml:space="preserve"> - </w:t>
      </w:r>
      <w:hyperlink w:history="0" r:id="rId98" w:tooltip="Федеральный закон от 30.12.2020 N 542-ФЗ &quot;О внесении изменений в статью 201.15-2-2 Федерального закона &quot;О несостоятельности (банкротстве)&quot; и статьи 3 и 13.4 Федерального закона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КонсультантПлюс}">
        <w:r>
          <w:rPr>
            <w:sz w:val="20"/>
            <w:color w:val="0000ff"/>
          </w:rPr>
          <w:t xml:space="preserve">4 статьи 3</w:t>
        </w:r>
      </w:hyperlink>
      <w:r>
        <w:rPr>
          <w:sz w:val="20"/>
        </w:rPr>
        <w:t xml:space="preserve"> Федерального закона "О внесении изменений в статью 201.15-2-2 Федерального закона "О несостоятельности (банкротстве)" и статьи 3 и 13.4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pPr>
        <w:pStyle w:val="0"/>
        <w:jc w:val="both"/>
      </w:pPr>
      <w:r>
        <w:rPr>
          <w:sz w:val="20"/>
        </w:rPr>
        <w:t xml:space="preserve">(в ред. </w:t>
      </w:r>
      <w:hyperlink w:history="0" r:id="rId99"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26.04.2023 N 661)</w:t>
      </w:r>
    </w:p>
    <w:p>
      <w:pPr>
        <w:pStyle w:val="0"/>
        <w:spacing w:before="200" w:line-rule="auto"/>
        <w:ind w:firstLine="540"/>
        <w:jc w:val="both"/>
      </w:pPr>
      <w:r>
        <w:rPr>
          <w:sz w:val="20"/>
        </w:rPr>
        <w:t xml:space="preserve">18) определение способа и условий реализации имущества, переданного Фонду по основаниям, предусмотренным </w:t>
      </w:r>
      <w:hyperlink w:history="0" r:id="rId10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статьей 201.15-2-2</w:t>
        </w:r>
      </w:hyperlink>
      <w:r>
        <w:rPr>
          <w:sz w:val="20"/>
        </w:rPr>
        <w:t xml:space="preserve"> Федерального закона "О несостоятельности (банкротстве)", </w:t>
      </w:r>
      <w:hyperlink w:history="0" r:id="rId10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частью 3.12 статьи 13.1</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соответствии со </w:t>
      </w:r>
      <w:hyperlink w:history="0" r:id="rId10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13.4</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прав на указанное имущество;</w:t>
      </w:r>
    </w:p>
    <w:p>
      <w:pPr>
        <w:pStyle w:val="0"/>
        <w:jc w:val="both"/>
      </w:pPr>
      <w:r>
        <w:rPr>
          <w:sz w:val="20"/>
        </w:rPr>
        <w:t xml:space="preserve">(в ред. </w:t>
      </w:r>
      <w:hyperlink w:history="0" r:id="rId103"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26.04.2023 N 661)</w:t>
      </w:r>
    </w:p>
    <w:p>
      <w:pPr>
        <w:pStyle w:val="0"/>
        <w:spacing w:before="200" w:line-rule="auto"/>
        <w:ind w:firstLine="540"/>
        <w:jc w:val="both"/>
      </w:pPr>
      <w:r>
        <w:rPr>
          <w:sz w:val="20"/>
        </w:rPr>
        <w:t xml:space="preserve">19) рассмотрение представленных субъектами Российской Федерации заявок на предоставление финансовой поддержки за счет средств Фонда и принятие решений о соответствии указанных заявок и прилагаемых к ним документов требованиям, установленным Федеральным </w:t>
      </w:r>
      <w:hyperlink w:history="0" r:id="rId104"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 Фонде содействия реформированию жилищно-коммунального хозяйства";</w:t>
      </w:r>
    </w:p>
    <w:p>
      <w:pPr>
        <w:pStyle w:val="0"/>
        <w:spacing w:before="200" w:line-rule="auto"/>
        <w:ind w:firstLine="540"/>
        <w:jc w:val="both"/>
      </w:pPr>
      <w:r>
        <w:rPr>
          <w:sz w:val="20"/>
        </w:rPr>
        <w:t xml:space="preserve">20) принятие решения о предоставлении субъектам Российской Федерации финансовой поддержки за счет средств Фонда в соответствии с Федеральным </w:t>
      </w:r>
      <w:hyperlink w:history="0" r:id="rId105"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 Фонде содействия реформированию жилищно-коммунального хозяйства" или об отказе в предоставлении такой поддержки;</w:t>
      </w:r>
    </w:p>
    <w:p>
      <w:pPr>
        <w:pStyle w:val="0"/>
        <w:spacing w:before="200" w:line-rule="auto"/>
        <w:ind w:firstLine="540"/>
        <w:jc w:val="both"/>
      </w:pPr>
      <w:r>
        <w:rPr>
          <w:sz w:val="20"/>
        </w:rPr>
        <w:t xml:space="preserve">21) принятие решения о приостановлении в случаях и в порядке, которые установлены Федеральным </w:t>
      </w:r>
      <w:hyperlink w:history="0" r:id="rId106"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 Фонде содействия реформированию жилищно-коммунального хозяйства", предоставления финансовой поддержки за счет средств Фонда, решения о возобновлении предоставления финансовой поддержки за счет средств Фонда или решения об отказе в возобновлении предоставления финансовой поддержки за счет средств Фонда;</w:t>
      </w:r>
    </w:p>
    <w:p>
      <w:pPr>
        <w:pStyle w:val="0"/>
        <w:spacing w:before="200" w:line-rule="auto"/>
        <w:ind w:firstLine="540"/>
        <w:jc w:val="both"/>
      </w:pPr>
      <w:r>
        <w:rPr>
          <w:sz w:val="20"/>
        </w:rPr>
        <w:t xml:space="preserve">22) принятие решения о возврате средств Фонда в случаях, указанных в </w:t>
      </w:r>
      <w:hyperlink w:history="0" r:id="rId107"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части 5 статьи 19</w:t>
        </w:r>
      </w:hyperlink>
      <w:r>
        <w:rPr>
          <w:sz w:val="20"/>
        </w:rPr>
        <w:t xml:space="preserve">, </w:t>
      </w:r>
      <w:hyperlink w:history="0" r:id="rId108"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пунктах 3</w:t>
        </w:r>
      </w:hyperlink>
      <w:r>
        <w:rPr>
          <w:sz w:val="20"/>
        </w:rPr>
        <w:t xml:space="preserve"> и </w:t>
      </w:r>
      <w:hyperlink w:history="0" r:id="rId109"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6 части 1 статьи 23.1</w:t>
        </w:r>
      </w:hyperlink>
      <w:r>
        <w:rPr>
          <w:sz w:val="20"/>
        </w:rPr>
        <w:t xml:space="preserve"> Федерального закона "О Фонде содействия реформированию жилищно-коммунального хозяйства";</w:t>
      </w:r>
    </w:p>
    <w:p>
      <w:pPr>
        <w:pStyle w:val="0"/>
        <w:spacing w:before="200" w:line-rule="auto"/>
        <w:ind w:firstLine="540"/>
        <w:jc w:val="both"/>
      </w:pPr>
      <w:r>
        <w:rPr>
          <w:sz w:val="20"/>
        </w:rPr>
        <w:t xml:space="preserve">23) утверждение порядка проведения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проектов по модернизации систем коммунальной инфраструктуры, а также выполнения условий предоставления финансовой поддержки за счет средств Фонда;</w:t>
      </w:r>
    </w:p>
    <w:p>
      <w:pPr>
        <w:pStyle w:val="0"/>
        <w:jc w:val="both"/>
      </w:pPr>
      <w:r>
        <w:rPr>
          <w:sz w:val="20"/>
        </w:rPr>
        <w:t xml:space="preserve">(в ред. </w:t>
      </w:r>
      <w:hyperlink w:history="0" r:id="rId110"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Постановления</w:t>
        </w:r>
      </w:hyperlink>
      <w:r>
        <w:rPr>
          <w:sz w:val="20"/>
        </w:rPr>
        <w:t xml:space="preserve"> Правительства РФ от 23.07.2024 N 998)</w:t>
      </w:r>
    </w:p>
    <w:p>
      <w:pPr>
        <w:pStyle w:val="0"/>
        <w:spacing w:before="200" w:line-rule="auto"/>
        <w:ind w:firstLine="540"/>
        <w:jc w:val="both"/>
      </w:pPr>
      <w:r>
        <w:rPr>
          <w:sz w:val="20"/>
        </w:rPr>
        <w:t xml:space="preserve">24) утратил силу. - </w:t>
      </w:r>
      <w:hyperlink w:history="0" r:id="rId111"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Постановление</w:t>
        </w:r>
      </w:hyperlink>
      <w:r>
        <w:rPr>
          <w:sz w:val="20"/>
        </w:rPr>
        <w:t xml:space="preserve"> Правительства РФ от 23.07.2024 N 998;</w:t>
      </w:r>
    </w:p>
    <w:p>
      <w:pPr>
        <w:pStyle w:val="0"/>
        <w:spacing w:before="200" w:line-rule="auto"/>
        <w:ind w:firstLine="540"/>
        <w:jc w:val="both"/>
      </w:pPr>
      <w:r>
        <w:rPr>
          <w:sz w:val="20"/>
        </w:rPr>
        <w:t xml:space="preserve">24(1)) принятие решения об изменении предельного объема финансирования, предусмотренного </w:t>
      </w:r>
      <w:hyperlink w:history="0" r:id="rId112" w:tooltip="Постановление Правительства РФ от 12.09.2019 N 1192 (ред. от 11.12.2024)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2 статьи 13.1 Федерального закона &quot;О публично-правовой компании &quot;Фонд развития территорий&quot; и о внесении изменений в отдельные законодательные акты Российской Федерации&quot;, и о признании утратившими силу некоторых актов Правительства Российской Федерации {КонсультантПлюс}">
        <w:r>
          <w:rPr>
            <w:sz w:val="20"/>
            <w:color w:val="0000ff"/>
          </w:rPr>
          <w:t xml:space="preserve">пунктом 15(3)</w:t>
        </w:r>
      </w:hyperlink>
      <w:r>
        <w:rPr>
          <w:sz w:val="20"/>
        </w:rPr>
        <w:t xml:space="preserve">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утвержденных постановлением Правительства Российской Федерации от 12 сентября 2019 г. N 1192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pPr>
        <w:pStyle w:val="0"/>
        <w:jc w:val="both"/>
      </w:pPr>
      <w:r>
        <w:rPr>
          <w:sz w:val="20"/>
        </w:rPr>
        <w:t xml:space="preserve">(пп. 24(1) введен </w:t>
      </w:r>
      <w:hyperlink w:history="0" r:id="rId113" w:tooltip="Постановление Правительства РФ от 17.09.2022 N 16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17.09.2022 N 1633)</w:t>
      </w:r>
    </w:p>
    <w:p>
      <w:pPr>
        <w:pStyle w:val="0"/>
        <w:spacing w:before="200" w:line-rule="auto"/>
        <w:ind w:firstLine="540"/>
        <w:jc w:val="both"/>
      </w:pPr>
      <w:r>
        <w:rPr>
          <w:sz w:val="20"/>
        </w:rPr>
        <w:t xml:space="preserve">24(2)) рассмотрение заявок юридических лиц и индивидуальных предпринимателей на заключение договоров аренды имущества в соответствии с </w:t>
      </w:r>
      <w:hyperlink w:history="0" r:id="rId114" w:tooltip="Постановление Правительства РФ от 04.07.2023 N 1099 (ред. от 06.03.2024) &quot;Об утверждении Правил передачи публично-правовой компанией &quot;Фонд развития территорий&quot; в аренду имущества, расположенного на территориях Донецкой Народной Республики, Луганской Народной Республики, Запорожской области и Херсонской области, и о внесении изменений в устав публично-правовой компании &quot;Фонд развития территорий&quot; {КонсультантПлюс}">
        <w:r>
          <w:rPr>
            <w:sz w:val="20"/>
            <w:color w:val="0000ff"/>
          </w:rPr>
          <w:t xml:space="preserve">Правилами</w:t>
        </w:r>
      </w:hyperlink>
      <w:r>
        <w:rPr>
          <w:sz w:val="20"/>
        </w:rPr>
        <w:t xml:space="preserve"> передачи публично-правовой компанией "Фонд развития территорий" в аренду имущества, расположенного на территориях Донецкой Народной Республики, Луганской Народной Республики, Запорожской области и Херсонской области, утвержденными постановлением Правительства Российской Федерации от 4 июля 2023 г. N 1099 "Об утверждении Правил передачи публично-правовой компанией "Фонд развития территорий" в аренду имущества, расположенного на территориях Донецкой Народной Республики, Луганской Народной Республики, Запорожской области и Херсонской области, и о внесении изменений в устав публично-правовой компании "Фонд развития территорий", и принятие решений о соответствии указанных заявок требованиям, предусмотренным указанными Правилами;</w:t>
      </w:r>
    </w:p>
    <w:p>
      <w:pPr>
        <w:pStyle w:val="0"/>
        <w:jc w:val="both"/>
      </w:pPr>
      <w:r>
        <w:rPr>
          <w:sz w:val="20"/>
        </w:rPr>
        <w:t xml:space="preserve">(пп. 24(2) введен </w:t>
      </w:r>
      <w:hyperlink w:history="0" r:id="rId115" w:tooltip="Постановление Правительства РФ от 04.07.2023 N 1099 (ред. от 06.03.2024) &quot;Об утверждении Правил передачи публично-правовой компанией &quot;Фонд развития территорий&quot; в аренду имущества, расположенного на территориях Донецкой Народной Республики, Луганской Народной Республики, Запорожской области и Херсонской области, и о внесении изменений в устав публично-правовой компании &quot;Фонд развития территорий&quot; {КонсультантПлюс}">
        <w:r>
          <w:rPr>
            <w:sz w:val="20"/>
            <w:color w:val="0000ff"/>
          </w:rPr>
          <w:t xml:space="preserve">Постановлением</w:t>
        </w:r>
      </w:hyperlink>
      <w:r>
        <w:rPr>
          <w:sz w:val="20"/>
        </w:rPr>
        <w:t xml:space="preserve"> Правительства РФ от 04.07.2023 N 1099)</w:t>
      </w:r>
    </w:p>
    <w:p>
      <w:pPr>
        <w:pStyle w:val="0"/>
        <w:spacing w:before="200" w:line-rule="auto"/>
        <w:ind w:firstLine="540"/>
        <w:jc w:val="both"/>
      </w:pPr>
      <w:r>
        <w:rPr>
          <w:sz w:val="20"/>
        </w:rPr>
        <w:t xml:space="preserve">25) осуществление иных полномочий, предусмотренных федеральными законами, нормативными правовыми актами Правительства Российской Федерации и настоящим уставом, положением о правлении Фонда и решениями наблюдательного совета Фонда.</w:t>
      </w:r>
    </w:p>
    <w:p>
      <w:pPr>
        <w:pStyle w:val="0"/>
        <w:jc w:val="both"/>
      </w:pPr>
      <w:r>
        <w:rPr>
          <w:sz w:val="20"/>
        </w:rPr>
        <w:t xml:space="preserve">(в ред. </w:t>
      </w:r>
      <w:hyperlink w:history="0" r:id="rId116"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Постановления</w:t>
        </w:r>
      </w:hyperlink>
      <w:r>
        <w:rPr>
          <w:sz w:val="20"/>
        </w:rPr>
        <w:t xml:space="preserve"> Правительства РФ от 23.07.2024 N 998)</w:t>
      </w:r>
    </w:p>
    <w:p>
      <w:pPr>
        <w:pStyle w:val="0"/>
        <w:spacing w:before="200" w:line-rule="auto"/>
        <w:ind w:firstLine="540"/>
        <w:jc w:val="both"/>
      </w:pPr>
      <w:r>
        <w:rPr>
          <w:sz w:val="20"/>
        </w:rPr>
        <w:t xml:space="preserve">45. Правление Фонда состоит из 6 человек.</w:t>
      </w:r>
    </w:p>
    <w:p>
      <w:pPr>
        <w:pStyle w:val="0"/>
        <w:jc w:val="both"/>
      </w:pPr>
      <w:r>
        <w:rPr>
          <w:sz w:val="20"/>
        </w:rPr>
        <w:t xml:space="preserve">(в ред. </w:t>
      </w:r>
      <w:hyperlink w:history="0" r:id="rId117"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26.04.2023 N 661)</w:t>
      </w:r>
    </w:p>
    <w:p>
      <w:pPr>
        <w:pStyle w:val="0"/>
        <w:spacing w:before="200" w:line-rule="auto"/>
        <w:ind w:firstLine="540"/>
        <w:jc w:val="both"/>
      </w:pPr>
      <w:r>
        <w:rPr>
          <w:sz w:val="20"/>
        </w:rPr>
        <w:t xml:space="preserve">46. Члены правления Фонда, за исключением генерального директора Фонда, назначаются на должность сроком на 3 года и освобождаются от должности наблюдательным советом Фонда по представлению генерального директора Фонда. Членами правления Фонда могут быть лица, являющиеся работниками Фонда. Генеральный директор Фонда входит в состав правления Фонда по должности. Генеральный директор Фонда является председателем правления Фонда.</w:t>
      </w:r>
    </w:p>
    <w:p>
      <w:pPr>
        <w:pStyle w:val="0"/>
        <w:spacing w:before="200" w:line-rule="auto"/>
        <w:ind w:firstLine="540"/>
        <w:jc w:val="both"/>
      </w:pPr>
      <w:r>
        <w:rPr>
          <w:sz w:val="20"/>
        </w:rPr>
        <w:t xml:space="preserve">47. Работу правления Фонда организует председатель правления Фонда.</w:t>
      </w:r>
    </w:p>
    <w:p>
      <w:pPr>
        <w:pStyle w:val="0"/>
        <w:spacing w:before="200" w:line-rule="auto"/>
        <w:ind w:firstLine="540"/>
        <w:jc w:val="both"/>
      </w:pPr>
      <w:r>
        <w:rPr>
          <w:sz w:val="20"/>
        </w:rPr>
        <w:t xml:space="preserve">48. Заседание правления Фонда созывается председателем правления Фонда по его собственной инициативе, по требованию члена правления Фонда, или члена наблюдательного совета Фонда, или аудитора.</w:t>
      </w:r>
    </w:p>
    <w:p>
      <w:pPr>
        <w:pStyle w:val="0"/>
        <w:spacing w:before="200" w:line-rule="auto"/>
        <w:ind w:firstLine="540"/>
        <w:jc w:val="both"/>
      </w:pPr>
      <w:r>
        <w:rPr>
          <w:sz w:val="20"/>
        </w:rPr>
        <w:t xml:space="preserve">49. Члены правления Фонда письменно извещаются о назначенном заседании правления Фонда не менее чем за 1 рабочий день до дня его проведения. Извещение и отправка материалов осуществляются путем направления заказных писем, телеграмм, телефонограмм, а также по каналам электронной связи.</w:t>
      </w:r>
    </w:p>
    <w:p>
      <w:pPr>
        <w:pStyle w:val="0"/>
        <w:jc w:val="both"/>
      </w:pPr>
      <w:r>
        <w:rPr>
          <w:sz w:val="20"/>
        </w:rPr>
        <w:t xml:space="preserve">(в ред. </w:t>
      </w:r>
      <w:hyperlink w:history="0" r:id="rId118"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Постановления</w:t>
        </w:r>
      </w:hyperlink>
      <w:r>
        <w:rPr>
          <w:sz w:val="20"/>
        </w:rPr>
        <w:t xml:space="preserve"> Правительства РФ от 23.07.2024 N 998)</w:t>
      </w:r>
    </w:p>
    <w:p>
      <w:pPr>
        <w:pStyle w:val="0"/>
        <w:spacing w:before="200" w:line-rule="auto"/>
        <w:ind w:firstLine="540"/>
        <w:jc w:val="both"/>
      </w:pPr>
      <w:r>
        <w:rPr>
          <w:sz w:val="20"/>
        </w:rPr>
        <w:t xml:space="preserve">50. Организационно-техническое обеспечение деятельности правления Фонда осуществляет секретарь правления Фонда. Назначение секретаря правления Фонда и прекращение его полномочий осуществляются по решению правления Фонда по предложению председателя правления Фонда.</w:t>
      </w:r>
    </w:p>
    <w:p>
      <w:pPr>
        <w:pStyle w:val="0"/>
        <w:spacing w:before="200" w:line-rule="auto"/>
        <w:ind w:firstLine="540"/>
        <w:jc w:val="both"/>
      </w:pPr>
      <w:r>
        <w:rPr>
          <w:sz w:val="20"/>
        </w:rPr>
        <w:t xml:space="preserve">51. В случае отсутствия председателя правления Фонда его функции на заседании правления Фонда осуществляет один из членов правления Фонда по решению председателя правления Фонда.</w:t>
      </w:r>
    </w:p>
    <w:p>
      <w:pPr>
        <w:pStyle w:val="0"/>
        <w:spacing w:before="200" w:line-rule="auto"/>
        <w:ind w:firstLine="540"/>
        <w:jc w:val="both"/>
      </w:pPr>
      <w:r>
        <w:rPr>
          <w:sz w:val="20"/>
        </w:rPr>
        <w:t xml:space="preserve">52. Заседание правления Фонда правомочно, если на нем присутствует более половины членов правления Фонда.</w:t>
      </w:r>
    </w:p>
    <w:p>
      <w:pPr>
        <w:pStyle w:val="0"/>
        <w:spacing w:before="200" w:line-rule="auto"/>
        <w:ind w:firstLine="540"/>
        <w:jc w:val="both"/>
      </w:pPr>
      <w:r>
        <w:rPr>
          <w:sz w:val="20"/>
        </w:rPr>
        <w:t xml:space="preserve">53. Решения на заседании правления Фонда принимаются простым большинством голосов присутствующих на нем членов правления Фонда.</w:t>
      </w:r>
    </w:p>
    <w:p>
      <w:pPr>
        <w:pStyle w:val="0"/>
        <w:spacing w:before="200" w:line-rule="auto"/>
        <w:ind w:firstLine="540"/>
        <w:jc w:val="both"/>
      </w:pPr>
      <w:r>
        <w:rPr>
          <w:sz w:val="20"/>
        </w:rPr>
        <w:t xml:space="preserve">Процедура принятия решений правления Фонда в части, не урегулированной настоящим уставом, определяется положением о правлении Фонда.</w:t>
      </w:r>
    </w:p>
    <w:p>
      <w:pPr>
        <w:pStyle w:val="0"/>
        <w:spacing w:before="200" w:line-rule="auto"/>
        <w:ind w:firstLine="540"/>
        <w:jc w:val="both"/>
      </w:pPr>
      <w:r>
        <w:rPr>
          <w:sz w:val="20"/>
        </w:rPr>
        <w:t xml:space="preserve">54. В случае равенства голосов членов правления Фонда рассмотрение вопроса и принятие решения по нему осуществляется наблюдательным советом Фонда.</w:t>
      </w:r>
    </w:p>
    <w:p>
      <w:pPr>
        <w:pStyle w:val="0"/>
        <w:spacing w:before="200" w:line-rule="auto"/>
        <w:ind w:firstLine="540"/>
        <w:jc w:val="both"/>
      </w:pPr>
      <w:r>
        <w:rPr>
          <w:sz w:val="20"/>
        </w:rPr>
        <w:t xml:space="preserve">55. Наблюдательный совет Фонда вправе в любой момент прекратить полномочия члена правления Фонда.</w:t>
      </w:r>
    </w:p>
    <w:p>
      <w:pPr>
        <w:pStyle w:val="0"/>
        <w:spacing w:before="200" w:line-rule="auto"/>
        <w:ind w:firstLine="540"/>
        <w:jc w:val="both"/>
      </w:pPr>
      <w:r>
        <w:rPr>
          <w:sz w:val="20"/>
        </w:rPr>
        <w:t xml:space="preserve">56. Члены правления Фонда обязаны:</w:t>
      </w:r>
    </w:p>
    <w:p>
      <w:pPr>
        <w:pStyle w:val="0"/>
        <w:spacing w:before="200" w:line-rule="auto"/>
        <w:ind w:firstLine="540"/>
        <w:jc w:val="both"/>
      </w:pPr>
      <w:r>
        <w:rPr>
          <w:sz w:val="20"/>
        </w:rPr>
        <w:t xml:space="preserve">1) разумно и добросовестно действовать в интересах Фонда;</w:t>
      </w:r>
    </w:p>
    <w:p>
      <w:pPr>
        <w:pStyle w:val="0"/>
        <w:spacing w:before="200" w:line-rule="auto"/>
        <w:ind w:firstLine="540"/>
        <w:jc w:val="both"/>
      </w:pPr>
      <w:r>
        <w:rPr>
          <w:sz w:val="20"/>
        </w:rPr>
        <w:t xml:space="preserve">2) добросовестно относиться к своим обязанностям;</w:t>
      </w:r>
    </w:p>
    <w:p>
      <w:pPr>
        <w:pStyle w:val="0"/>
        <w:spacing w:before="200" w:line-rule="auto"/>
        <w:ind w:firstLine="540"/>
        <w:jc w:val="both"/>
      </w:pPr>
      <w:r>
        <w:rPr>
          <w:sz w:val="20"/>
        </w:rPr>
        <w:t xml:space="preserve">3) не разглашать ставшую им известной конфиденциальную информацию о деятельности Фонда.</w:t>
      </w:r>
    </w:p>
    <w:p>
      <w:pPr>
        <w:pStyle w:val="0"/>
        <w:spacing w:before="200" w:line-rule="auto"/>
        <w:ind w:firstLine="540"/>
        <w:jc w:val="both"/>
      </w:pPr>
      <w:r>
        <w:rPr>
          <w:sz w:val="20"/>
        </w:rPr>
        <w:t xml:space="preserve">57. Правление Фонда в установленном наблюдательным советом Фонда порядке информирует наблюдательный совет Фонда о вопросах, рассмотренных на заседаниях правления Фонда, и принятых им решениях.</w:t>
      </w:r>
    </w:p>
    <w:p>
      <w:pPr>
        <w:pStyle w:val="0"/>
        <w:jc w:val="both"/>
      </w:pPr>
      <w:r>
        <w:rPr>
          <w:sz w:val="20"/>
        </w:rPr>
      </w:r>
    </w:p>
    <w:p>
      <w:pPr>
        <w:pStyle w:val="2"/>
        <w:outlineLvl w:val="1"/>
        <w:jc w:val="center"/>
      </w:pPr>
      <w:r>
        <w:rPr>
          <w:sz w:val="20"/>
        </w:rPr>
        <w:t xml:space="preserve">VI. Генеральный директор Фонда</w:t>
      </w:r>
    </w:p>
    <w:p>
      <w:pPr>
        <w:pStyle w:val="0"/>
        <w:jc w:val="both"/>
      </w:pPr>
      <w:r>
        <w:rPr>
          <w:sz w:val="20"/>
        </w:rPr>
      </w:r>
    </w:p>
    <w:p>
      <w:pPr>
        <w:pStyle w:val="0"/>
        <w:ind w:firstLine="540"/>
        <w:jc w:val="both"/>
      </w:pPr>
      <w:r>
        <w:rPr>
          <w:sz w:val="20"/>
        </w:rPr>
        <w:t xml:space="preserve">58. Руководство текущей деятельностью Фонда осуществляет единоличный исполнительный орган Фонда - генеральный директор Фонда.</w:t>
      </w:r>
    </w:p>
    <w:p>
      <w:pPr>
        <w:pStyle w:val="0"/>
        <w:spacing w:before="200" w:line-rule="auto"/>
        <w:ind w:firstLine="540"/>
        <w:jc w:val="both"/>
      </w:pPr>
      <w:r>
        <w:rPr>
          <w:sz w:val="20"/>
        </w:rPr>
        <w:t xml:space="preserve">59. Генеральный директор Фонда назначается на должность Правительством Российской Федерации по представлению Министерства строительства и жилищно-коммунального хозяйства Российской Федерации сроком на 3 года.</w:t>
      </w:r>
    </w:p>
    <w:p>
      <w:pPr>
        <w:pStyle w:val="0"/>
        <w:spacing w:before="200" w:line-rule="auto"/>
        <w:ind w:firstLine="540"/>
        <w:jc w:val="both"/>
      </w:pPr>
      <w:r>
        <w:rPr>
          <w:sz w:val="20"/>
        </w:rPr>
        <w:t xml:space="preserve">Полномочия генерального директора Фонда могут быть прекращены досрочно решением Правительства Российской Федерации.</w:t>
      </w:r>
    </w:p>
    <w:p>
      <w:pPr>
        <w:pStyle w:val="0"/>
        <w:spacing w:before="200" w:line-rule="auto"/>
        <w:ind w:firstLine="540"/>
        <w:jc w:val="both"/>
      </w:pPr>
      <w:r>
        <w:rPr>
          <w:sz w:val="20"/>
        </w:rPr>
        <w:t xml:space="preserve">60.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 Генеральный директор Фонда осуществляет в том числе следующие полномочия:</w:t>
      </w:r>
    </w:p>
    <w:p>
      <w:pPr>
        <w:pStyle w:val="0"/>
        <w:spacing w:before="200" w:line-rule="auto"/>
        <w:ind w:firstLine="540"/>
        <w:jc w:val="both"/>
      </w:pPr>
      <w:r>
        <w:rPr>
          <w:sz w:val="20"/>
        </w:rPr>
        <w:t xml:space="preserve">1) действует от имени Фонда без доверенности, в том числе совершает сделки и представляет интересы Фонда в отношениях с органами государственной власти, органами местного самоуправления, органами иностранных государств, международными организациями, другими организациями, а также гражданами;</w:t>
      </w:r>
    </w:p>
    <w:p>
      <w:pPr>
        <w:pStyle w:val="0"/>
        <w:spacing w:before="200" w:line-rule="auto"/>
        <w:ind w:firstLine="540"/>
        <w:jc w:val="both"/>
      </w:pPr>
      <w:r>
        <w:rPr>
          <w:sz w:val="20"/>
        </w:rPr>
        <w:t xml:space="preserve">2) возглавляет правление Фонда, а также организует исполнение решений наблюдательного совета Фонда и правления Фонда;</w:t>
      </w:r>
    </w:p>
    <w:p>
      <w:pPr>
        <w:pStyle w:val="0"/>
        <w:spacing w:before="200" w:line-rule="auto"/>
        <w:ind w:firstLine="540"/>
        <w:jc w:val="both"/>
      </w:pPr>
      <w:r>
        <w:rPr>
          <w:sz w:val="20"/>
        </w:rPr>
        <w:t xml:space="preserve">3) подготавливает и направляет на рассмотрение наблюдательного совета Фонда отчеты по вопросам деятельности Фонда;</w:t>
      </w:r>
    </w:p>
    <w:p>
      <w:pPr>
        <w:pStyle w:val="0"/>
        <w:spacing w:before="200" w:line-rule="auto"/>
        <w:ind w:firstLine="540"/>
        <w:jc w:val="both"/>
      </w:pPr>
      <w:r>
        <w:rPr>
          <w:sz w:val="20"/>
        </w:rPr>
        <w:t xml:space="preserve">4) подготавливает и направляет на рассмотрение наблюдательного совета Фонда представления о назначении на должность или об освобождении от должности членов правления Фонда;</w:t>
      </w:r>
    </w:p>
    <w:p>
      <w:pPr>
        <w:pStyle w:val="0"/>
        <w:spacing w:before="200" w:line-rule="auto"/>
        <w:ind w:firstLine="540"/>
        <w:jc w:val="both"/>
      </w:pPr>
      <w:r>
        <w:rPr>
          <w:sz w:val="20"/>
        </w:rPr>
        <w:t xml:space="preserve">5) издает приказы и распоряжения по вопросам деятельности Фонда;</w:t>
      </w:r>
    </w:p>
    <w:p>
      <w:pPr>
        <w:pStyle w:val="0"/>
        <w:spacing w:before="200" w:line-rule="auto"/>
        <w:ind w:firstLine="540"/>
        <w:jc w:val="both"/>
      </w:pPr>
      <w:r>
        <w:rPr>
          <w:sz w:val="20"/>
        </w:rPr>
        <w:t xml:space="preserve">6) распределяет обязанности между своими заместителями;</w:t>
      </w:r>
    </w:p>
    <w:p>
      <w:pPr>
        <w:pStyle w:val="0"/>
        <w:spacing w:before="200" w:line-rule="auto"/>
        <w:ind w:firstLine="540"/>
        <w:jc w:val="both"/>
      </w:pPr>
      <w:r>
        <w:rPr>
          <w:sz w:val="20"/>
        </w:rPr>
        <w:t xml:space="preserve">7) назначает на должность и освобождает от должности работников Фонда, заключает, изменяет и расторгает трудовые договоры с ними, осуществляет применение в отношении работников Фонда мер поощрения и дисциплинарных взысканий, за исключением председателя и членов комитета по аудиту при наблюдательном совете Фонда;</w:t>
      </w:r>
    </w:p>
    <w:p>
      <w:pPr>
        <w:pStyle w:val="0"/>
        <w:spacing w:before="200" w:line-rule="auto"/>
        <w:ind w:firstLine="540"/>
        <w:jc w:val="both"/>
      </w:pPr>
      <w:r>
        <w:rPr>
          <w:sz w:val="20"/>
        </w:rPr>
        <w:t xml:space="preserve">8) осуществляет контроль за деятельностью филиалов и представительств Фонда;</w:t>
      </w:r>
    </w:p>
    <w:p>
      <w:pPr>
        <w:pStyle w:val="0"/>
        <w:spacing w:before="200" w:line-rule="auto"/>
        <w:ind w:firstLine="540"/>
        <w:jc w:val="both"/>
      </w:pPr>
      <w:r>
        <w:rPr>
          <w:sz w:val="20"/>
        </w:rPr>
        <w:t xml:space="preserve">9) организует ведение бухгалтерского учета;</w:t>
      </w:r>
    </w:p>
    <w:p>
      <w:pPr>
        <w:pStyle w:val="0"/>
        <w:spacing w:before="200" w:line-rule="auto"/>
        <w:ind w:firstLine="540"/>
        <w:jc w:val="both"/>
      </w:pPr>
      <w:r>
        <w:rPr>
          <w:sz w:val="20"/>
        </w:rPr>
        <w:t xml:space="preserve">10) при осуществлении Фондом функций и полномочий в соответствии с </w:t>
      </w:r>
      <w:hyperlink w:history="0" r:id="rId119"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пунктом 8 части 4 статьи 3</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подписывает программу облигаций, утверждает, подписывает иные документы и принимает решения, предусмотренные законодательством Российской Федерации о ценных бумагах и нормативными актами Центрального банка Российской Федерации, в рамках процедуры эмиссии, обращения и погашения облигаций, за исключением документов, решений, утверждение, принятие которых отнесены к полномочиям наблюдательного совета Фонда или правления Фонда;</w:t>
      </w:r>
    </w:p>
    <w:p>
      <w:pPr>
        <w:pStyle w:val="0"/>
        <w:spacing w:before="200" w:line-rule="auto"/>
        <w:ind w:firstLine="540"/>
        <w:jc w:val="both"/>
      </w:pPr>
      <w:r>
        <w:rPr>
          <w:sz w:val="20"/>
        </w:rPr>
        <w:t xml:space="preserve">11) осуществляет иные полномочия, предусмотренные федеральными законами и настоящим уставом.</w:t>
      </w:r>
    </w:p>
    <w:p>
      <w:pPr>
        <w:pStyle w:val="0"/>
        <w:spacing w:before="200" w:line-rule="auto"/>
        <w:ind w:firstLine="540"/>
        <w:jc w:val="both"/>
      </w:pPr>
      <w:r>
        <w:rPr>
          <w:sz w:val="20"/>
        </w:rPr>
        <w:t xml:space="preserve">60(1). Генеральный директор несет персональную ответственность за организацию работ и создание условий по защите государственной тайны в Фонде, за несоблюдение установленных законодательством Российской Федерации ограничений по ознакомлению со сведениями, составляющими государственную тайну.</w:t>
      </w:r>
    </w:p>
    <w:p>
      <w:pPr>
        <w:pStyle w:val="0"/>
        <w:jc w:val="both"/>
      </w:pPr>
      <w:r>
        <w:rPr>
          <w:sz w:val="20"/>
        </w:rPr>
        <w:t xml:space="preserve">(п. 60(1) введен </w:t>
      </w:r>
      <w:hyperlink w:history="0" r:id="rId120"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26.04.2023 N 661)</w:t>
      </w:r>
    </w:p>
    <w:p>
      <w:pPr>
        <w:pStyle w:val="0"/>
        <w:jc w:val="both"/>
      </w:pPr>
      <w:r>
        <w:rPr>
          <w:sz w:val="20"/>
        </w:rPr>
      </w:r>
    </w:p>
    <w:p>
      <w:pPr>
        <w:pStyle w:val="2"/>
        <w:outlineLvl w:val="1"/>
        <w:jc w:val="center"/>
      </w:pPr>
      <w:r>
        <w:rPr>
          <w:sz w:val="20"/>
        </w:rPr>
        <w:t xml:space="preserve">VII. Попечительский совет Фонда</w:t>
      </w:r>
    </w:p>
    <w:p>
      <w:pPr>
        <w:pStyle w:val="0"/>
        <w:jc w:val="both"/>
      </w:pPr>
      <w:r>
        <w:rPr>
          <w:sz w:val="20"/>
        </w:rPr>
      </w:r>
    </w:p>
    <w:p>
      <w:pPr>
        <w:pStyle w:val="0"/>
        <w:ind w:firstLine="540"/>
        <w:jc w:val="both"/>
      </w:pPr>
      <w:r>
        <w:rPr>
          <w:sz w:val="20"/>
        </w:rPr>
        <w:t xml:space="preserve">61. Попечительский совет Фонда является органом Фонда и осуществляет надзор за деятельностью Фонда, принятием органами управления Фонда решений и обеспечением их исполнения, использованием средств Фонда, соблюдением Фондом законодательства Российской Федерации.</w:t>
      </w:r>
    </w:p>
    <w:p>
      <w:pPr>
        <w:pStyle w:val="0"/>
        <w:spacing w:before="200" w:line-rule="auto"/>
        <w:ind w:firstLine="540"/>
        <w:jc w:val="both"/>
      </w:pPr>
      <w:r>
        <w:rPr>
          <w:sz w:val="20"/>
        </w:rPr>
        <w:t xml:space="preserve">62. Общее количество членов попечительского совета Фонда не может превышать 15 человек, в том числе в состав попечительского совета Фонда входят 2 представителя от Федерального Собрания Российской Федерации (по одному представителю от каждой палаты Федерального Собрания Российской Федерации) и 3 представителя высших должностных лиц субъектов Российской Федерации. Персональный состав попечительского совета Фонда утверждается Правительством Российской Федерации.</w:t>
      </w:r>
    </w:p>
    <w:p>
      <w:pPr>
        <w:pStyle w:val="0"/>
        <w:spacing w:before="200" w:line-rule="auto"/>
        <w:ind w:firstLine="540"/>
        <w:jc w:val="both"/>
      </w:pPr>
      <w:r>
        <w:rPr>
          <w:sz w:val="20"/>
        </w:rPr>
        <w:t xml:space="preserve">Полномочия членов попечительского совета Фонда могут быть прекращены решением Правительства Российской Федерации.</w:t>
      </w:r>
    </w:p>
    <w:p>
      <w:pPr>
        <w:pStyle w:val="0"/>
        <w:spacing w:before="200" w:line-rule="auto"/>
        <w:ind w:firstLine="540"/>
        <w:jc w:val="both"/>
      </w:pPr>
      <w:r>
        <w:rPr>
          <w:sz w:val="20"/>
        </w:rPr>
        <w:t xml:space="preserve">63. Попечительский совет Фонда:</w:t>
      </w:r>
    </w:p>
    <w:p>
      <w:pPr>
        <w:pStyle w:val="0"/>
        <w:spacing w:before="200" w:line-rule="auto"/>
        <w:ind w:firstLine="540"/>
        <w:jc w:val="both"/>
      </w:pPr>
      <w:r>
        <w:rPr>
          <w:sz w:val="20"/>
        </w:rPr>
        <w:t xml:space="preserve">1) рассматривает утвержденные наблюдательным советом Фонда:</w:t>
      </w:r>
    </w:p>
    <w:p>
      <w:pPr>
        <w:pStyle w:val="0"/>
        <w:spacing w:before="200" w:line-rule="auto"/>
        <w:ind w:firstLine="540"/>
        <w:jc w:val="both"/>
      </w:pPr>
      <w:r>
        <w:rPr>
          <w:sz w:val="20"/>
        </w:rPr>
        <w:t xml:space="preserve">стратегию развития Фонда;</w:t>
      </w:r>
    </w:p>
    <w:p>
      <w:pPr>
        <w:pStyle w:val="0"/>
        <w:spacing w:before="200" w:line-rule="auto"/>
        <w:ind w:firstLine="540"/>
        <w:jc w:val="both"/>
      </w:pPr>
      <w:r>
        <w:rPr>
          <w:sz w:val="20"/>
        </w:rPr>
        <w:t xml:space="preserve">годовой финансовый план (бюджет) Фонда, изменения, вносимые в него;</w:t>
      </w:r>
    </w:p>
    <w:p>
      <w:pPr>
        <w:pStyle w:val="0"/>
        <w:spacing w:before="200" w:line-rule="auto"/>
        <w:ind w:firstLine="540"/>
        <w:jc w:val="both"/>
      </w:pPr>
      <w:r>
        <w:rPr>
          <w:sz w:val="20"/>
        </w:rPr>
        <w:t xml:space="preserve">годовой отчет Фонда;</w:t>
      </w:r>
    </w:p>
    <w:p>
      <w:pPr>
        <w:pStyle w:val="0"/>
        <w:spacing w:before="200" w:line-rule="auto"/>
        <w:ind w:firstLine="540"/>
        <w:jc w:val="both"/>
      </w:pPr>
      <w:r>
        <w:rPr>
          <w:sz w:val="20"/>
        </w:rPr>
        <w:t xml:space="preserve">2) вырабатывает рекомендации для органов управления Фонда по итогам рассмотрения вопросов на заседаниях попечительского совета Фонда;</w:t>
      </w:r>
    </w:p>
    <w:p>
      <w:pPr>
        <w:pStyle w:val="0"/>
        <w:spacing w:before="200" w:line-rule="auto"/>
        <w:ind w:firstLine="540"/>
        <w:jc w:val="both"/>
      </w:pPr>
      <w:r>
        <w:rPr>
          <w:sz w:val="20"/>
        </w:rPr>
        <w:t xml:space="preserve">3) осуществляет иные функции, предусмотренные законодательством Российской Федерации, нормативными правовыми актами Правительства Российской Федерации и настоящим уставом.</w:t>
      </w:r>
    </w:p>
    <w:p>
      <w:pPr>
        <w:pStyle w:val="0"/>
        <w:spacing w:before="200" w:line-rule="auto"/>
        <w:ind w:firstLine="540"/>
        <w:jc w:val="both"/>
      </w:pPr>
      <w:r>
        <w:rPr>
          <w:sz w:val="20"/>
        </w:rPr>
        <w:t xml:space="preserve">64. Для осуществления своих функций попечительский совет Фонда имеет право:</w:t>
      </w:r>
    </w:p>
    <w:p>
      <w:pPr>
        <w:pStyle w:val="0"/>
        <w:spacing w:before="200" w:line-rule="auto"/>
        <w:ind w:firstLine="540"/>
        <w:jc w:val="both"/>
      </w:pPr>
      <w:r>
        <w:rPr>
          <w:sz w:val="20"/>
        </w:rPr>
        <w:t xml:space="preserve">1) знакомиться с документами Фонда, а также получать от органов управления Фонда и должностных лиц Фонда информацию о деятельности Фонда, в том числе о принятых органами управления Фонда решениях, об обеспечении их реализации, использовании средств Фонда, о соблюдении Фондом законодательства Российской Федерации, а также о ходе рассмотрения органами управления Фонда рекомендаций попечительского совета Фонда;</w:t>
      </w:r>
    </w:p>
    <w:p>
      <w:pPr>
        <w:pStyle w:val="0"/>
        <w:spacing w:before="200" w:line-rule="auto"/>
        <w:ind w:firstLine="540"/>
        <w:jc w:val="both"/>
      </w:pPr>
      <w:r>
        <w:rPr>
          <w:sz w:val="20"/>
        </w:rPr>
        <w:t xml:space="preserve">2) информировать органы управления Фонда о фактах нарушений и недостатков в расходовании средств Фонда;</w:t>
      </w:r>
    </w:p>
    <w:p>
      <w:pPr>
        <w:pStyle w:val="0"/>
        <w:spacing w:before="200" w:line-rule="auto"/>
        <w:ind w:firstLine="540"/>
        <w:jc w:val="both"/>
      </w:pPr>
      <w:r>
        <w:rPr>
          <w:sz w:val="20"/>
        </w:rPr>
        <w:t xml:space="preserve">3) направлять органам управления Фонда рекомендации по вопросам совершенствования деятельности Фонда, обеспечения эффективного и целесообразного использования средств Фонда, устранения нарушений и недостатков в реализации функций Фонда, проведения при необходимости дополнительных контрольных мероприятий;</w:t>
      </w:r>
    </w:p>
    <w:p>
      <w:pPr>
        <w:pStyle w:val="0"/>
        <w:spacing w:before="200" w:line-rule="auto"/>
        <w:ind w:firstLine="540"/>
        <w:jc w:val="both"/>
      </w:pPr>
      <w:r>
        <w:rPr>
          <w:sz w:val="20"/>
        </w:rPr>
        <w:t xml:space="preserve">4) вносить предложения о проведении внеочередного аудита бухгалтерской (финансовой) отчетности Фонда;</w:t>
      </w:r>
    </w:p>
    <w:p>
      <w:pPr>
        <w:pStyle w:val="0"/>
        <w:spacing w:before="200" w:line-rule="auto"/>
        <w:ind w:firstLine="540"/>
        <w:jc w:val="both"/>
      </w:pPr>
      <w:r>
        <w:rPr>
          <w:sz w:val="20"/>
        </w:rPr>
        <w:t xml:space="preserve">5) участвовать в проводимых Фондом совещаниях, конференциях, круглых столах, семинарах и иных мероприятиях по вопросам, отнесенным к компетенции попечительского совета Фонда;</w:t>
      </w:r>
    </w:p>
    <w:p>
      <w:pPr>
        <w:pStyle w:val="0"/>
        <w:spacing w:before="200" w:line-rule="auto"/>
        <w:ind w:firstLine="540"/>
        <w:jc w:val="both"/>
      </w:pPr>
      <w:r>
        <w:rPr>
          <w:sz w:val="20"/>
        </w:rPr>
        <w:t xml:space="preserve">6) участвовать в подготовке предложений по совершенствованию законодательства Российской Федерации по вопросам, отнесенным к компетенции попечительского совета Фонда;</w:t>
      </w:r>
    </w:p>
    <w:p>
      <w:pPr>
        <w:pStyle w:val="0"/>
        <w:spacing w:before="200" w:line-rule="auto"/>
        <w:ind w:firstLine="540"/>
        <w:jc w:val="both"/>
      </w:pPr>
      <w:r>
        <w:rPr>
          <w:sz w:val="20"/>
        </w:rPr>
        <w:t xml:space="preserve">7) обращаться в органы управления Фонда и к должностным лицам Фонда за консультационной и методической помощью в процессе реализации возложенных на попечительский совет Фонда функций;</w:t>
      </w:r>
    </w:p>
    <w:p>
      <w:pPr>
        <w:pStyle w:val="0"/>
        <w:spacing w:before="200" w:line-rule="auto"/>
        <w:ind w:firstLine="540"/>
        <w:jc w:val="both"/>
      </w:pPr>
      <w:r>
        <w:rPr>
          <w:sz w:val="20"/>
        </w:rPr>
        <w:t xml:space="preserve">8) осуществлять иные права, не противоречащие законодательству Российской Федерации.</w:t>
      </w:r>
    </w:p>
    <w:p>
      <w:pPr>
        <w:pStyle w:val="0"/>
        <w:spacing w:before="200" w:line-rule="auto"/>
        <w:ind w:firstLine="540"/>
        <w:jc w:val="both"/>
      </w:pPr>
      <w:r>
        <w:rPr>
          <w:sz w:val="20"/>
        </w:rPr>
        <w:t xml:space="preserve">65. Попечительский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утверждаются председателем попечительского совета Фонда. Комитеты и комиссии, созданные попечительским советом Фонда, осуществляют свою деятельность на общественных началах.</w:t>
      </w:r>
    </w:p>
    <w:p>
      <w:pPr>
        <w:pStyle w:val="0"/>
        <w:spacing w:before="200" w:line-rule="auto"/>
        <w:ind w:firstLine="540"/>
        <w:jc w:val="both"/>
      </w:pPr>
      <w:r>
        <w:rPr>
          <w:sz w:val="20"/>
        </w:rPr>
        <w:t xml:space="preserve">66. Попечительский совет Фонда осуществляет свою деятельность на общественных началах. Фонд осуществляет за счет своих средств и в соответствии со сметой расходов Фонда материально-техническое обеспечение деятельности попечительского совета Фонда, созданных попечительским советом Фонда комитетов и комиссий, а также компенсацию расходов членам попечительского совета Фонда, не являющимся лицами, замещающими государственные должности, либо лицами, являющимися государственными гражданскими служащими, непосредственно связанных с участием в работе попечительского совета Фонда.</w:t>
      </w:r>
    </w:p>
    <w:p>
      <w:pPr>
        <w:pStyle w:val="0"/>
        <w:spacing w:before="200" w:line-rule="auto"/>
        <w:ind w:firstLine="540"/>
        <w:jc w:val="both"/>
      </w:pPr>
      <w:r>
        <w:rPr>
          <w:sz w:val="20"/>
        </w:rPr>
        <w:t xml:space="preserve">67. Попечительский совет Фонда осуществляет свою деятельность в форме заседаний, а также в рамках соответствующих контрольных и экспертно-аналитических мероприятий. Порядок организации и проведения указанных заседаний и мероприятий определяется регламентом деятельности попечительского совета Фонда, утверждаемым попечительским советом Фонда.</w:t>
      </w:r>
    </w:p>
    <w:p>
      <w:pPr>
        <w:pStyle w:val="0"/>
        <w:spacing w:before="200" w:line-rule="auto"/>
        <w:ind w:firstLine="540"/>
        <w:jc w:val="both"/>
      </w:pPr>
      <w:r>
        <w:rPr>
          <w:sz w:val="20"/>
        </w:rPr>
        <w:t xml:space="preserve">68. Заседания попечительского совета Фонда проводятся по мере необходимости, но не реже одного раза в полугодие.</w:t>
      </w:r>
    </w:p>
    <w:p>
      <w:pPr>
        <w:pStyle w:val="0"/>
        <w:spacing w:before="200" w:line-rule="auto"/>
        <w:ind w:firstLine="540"/>
        <w:jc w:val="both"/>
      </w:pPr>
      <w:r>
        <w:rPr>
          <w:sz w:val="20"/>
        </w:rPr>
        <w:t xml:space="preserve">Члены попечительского совета Фонда письменно извещаются о назначенном заседании попечительского совета Фонда не менее чем за 5 рабочих дней до дня его проведения, если иное решение не принято председателем попечительского совета Фонда. Извещение и отправка материалов осуществляются путем направления заказных писем, телеграмм, телефонограмм, а также по каналам электронной связи.</w:t>
      </w:r>
    </w:p>
    <w:p>
      <w:pPr>
        <w:pStyle w:val="0"/>
        <w:spacing w:before="200" w:line-rule="auto"/>
        <w:ind w:firstLine="540"/>
        <w:jc w:val="both"/>
      </w:pPr>
      <w:r>
        <w:rPr>
          <w:sz w:val="20"/>
        </w:rPr>
        <w:t xml:space="preserve">69. Заседания попечительского совета Фонда созываются председателем попечительского совета Фонда по его собственной инициативе или по предложению члена попечительского совета Фонда.</w:t>
      </w:r>
    </w:p>
    <w:bookmarkStart w:id="412" w:name="P412"/>
    <w:bookmarkEnd w:id="412"/>
    <w:p>
      <w:pPr>
        <w:pStyle w:val="0"/>
        <w:spacing w:before="200" w:line-rule="auto"/>
        <w:ind w:firstLine="540"/>
        <w:jc w:val="both"/>
      </w:pPr>
      <w:r>
        <w:rPr>
          <w:sz w:val="20"/>
        </w:rPr>
        <w:t xml:space="preserve">70. В случае отсутствия председателя попечительского совета Фонда, его функции на заседании попечительского совета Фонда осуществляет один из членов попечительского совета Фонда по решению председателя попечительского совета Фонда.</w:t>
      </w:r>
    </w:p>
    <w:p>
      <w:pPr>
        <w:pStyle w:val="0"/>
        <w:spacing w:before="200" w:line-rule="auto"/>
        <w:ind w:firstLine="540"/>
        <w:jc w:val="both"/>
      </w:pPr>
      <w:r>
        <w:rPr>
          <w:sz w:val="20"/>
        </w:rPr>
        <w:t xml:space="preserve">71. Заседание попечительского совета Фонда правомочно, если на нем присутствует более половины членов попечительского совета Фонда.</w:t>
      </w:r>
    </w:p>
    <w:p>
      <w:pPr>
        <w:pStyle w:val="0"/>
        <w:spacing w:before="200" w:line-rule="auto"/>
        <w:ind w:firstLine="540"/>
        <w:jc w:val="both"/>
      </w:pPr>
      <w:r>
        <w:rPr>
          <w:sz w:val="20"/>
        </w:rPr>
        <w:t xml:space="preserve">72. Решения на заседании попечительского совета Фонда принимаются простым большинством голосов присутствующих на нем членов попечительского совета Фонда. В случае равенства голосов голос председателя попечительского совета Фонда либо лица, осуществляющего его функции в соответствии с </w:t>
      </w:r>
      <w:hyperlink w:history="0" w:anchor="P412" w:tooltip="70. В случае отсутствия председателя попечительского совета Фонда, его функции на заседании попечительского совета Фонда осуществляет один из членов попечительского совета Фонда по решению председателя попечительского совета Фонда.">
        <w:r>
          <w:rPr>
            <w:sz w:val="20"/>
            <w:color w:val="0000ff"/>
          </w:rPr>
          <w:t xml:space="preserve">пунктом 70</w:t>
        </w:r>
      </w:hyperlink>
      <w:r>
        <w:rPr>
          <w:sz w:val="20"/>
        </w:rPr>
        <w:t xml:space="preserve"> настоящего устава, является решающим.</w:t>
      </w:r>
    </w:p>
    <w:p>
      <w:pPr>
        <w:pStyle w:val="0"/>
        <w:spacing w:before="200" w:line-rule="auto"/>
        <w:ind w:firstLine="540"/>
        <w:jc w:val="both"/>
      </w:pPr>
      <w:r>
        <w:rPr>
          <w:sz w:val="20"/>
        </w:rPr>
        <w:t xml:space="preserve">73. Решения попечительского совета Фонда носят рекомендательный характер.</w:t>
      </w:r>
    </w:p>
    <w:p>
      <w:pPr>
        <w:pStyle w:val="0"/>
        <w:jc w:val="both"/>
      </w:pPr>
      <w:r>
        <w:rPr>
          <w:sz w:val="20"/>
        </w:rPr>
      </w:r>
    </w:p>
    <w:p>
      <w:pPr>
        <w:pStyle w:val="2"/>
        <w:outlineLvl w:val="1"/>
        <w:jc w:val="center"/>
      </w:pPr>
      <w:r>
        <w:rPr>
          <w:sz w:val="20"/>
        </w:rPr>
        <w:t xml:space="preserve">VIII. Имущество Фонда</w:t>
      </w:r>
    </w:p>
    <w:p>
      <w:pPr>
        <w:pStyle w:val="0"/>
        <w:jc w:val="both"/>
      </w:pPr>
      <w:r>
        <w:rPr>
          <w:sz w:val="20"/>
        </w:rPr>
      </w:r>
    </w:p>
    <w:p>
      <w:pPr>
        <w:pStyle w:val="0"/>
        <w:ind w:firstLine="540"/>
        <w:jc w:val="both"/>
      </w:pPr>
      <w:r>
        <w:rPr>
          <w:sz w:val="20"/>
        </w:rPr>
        <w:t xml:space="preserve">74. Имущество Фонда формируется за счет имущественных взносов Российской Федерации, имущества юридических лиц, правопреемником которых является Фонд, компенсационного фонда, а также имущества, приобретенного за счет имущественных взносов Российской Федерации, инвестирования временно свободных средств, добровольных имущественных взносов, в том числе публично-правовых образований, доходов, полученных Фондом от осуществления своей деятельности, и иных не запрещенных законодательством Российской Федерации поступлений.</w:t>
      </w:r>
    </w:p>
    <w:p>
      <w:pPr>
        <w:pStyle w:val="0"/>
        <w:spacing w:before="200" w:line-rule="auto"/>
        <w:ind w:firstLine="540"/>
        <w:jc w:val="both"/>
      </w:pPr>
      <w:r>
        <w:rPr>
          <w:sz w:val="20"/>
        </w:rPr>
        <w:t xml:space="preserve">75. Состав имущества, передаваемого Фонду в качестве имущественного взноса Российской Федерации, определяется Правительством Российской Федерации.</w:t>
      </w:r>
    </w:p>
    <w:p>
      <w:pPr>
        <w:pStyle w:val="0"/>
        <w:spacing w:before="200" w:line-rule="auto"/>
        <w:ind w:firstLine="540"/>
        <w:jc w:val="both"/>
      </w:pPr>
      <w:r>
        <w:rPr>
          <w:sz w:val="20"/>
        </w:rPr>
        <w:t xml:space="preserve">76. Предоставление Фонду средств федерального бюджета для формирования его имущества осуществляется в соответствии с бюджетным законодательством Российской Федерации.</w:t>
      </w:r>
    </w:p>
    <w:p>
      <w:pPr>
        <w:pStyle w:val="0"/>
        <w:spacing w:before="200" w:line-rule="auto"/>
        <w:ind w:firstLine="540"/>
        <w:jc w:val="both"/>
      </w:pPr>
      <w:r>
        <w:rPr>
          <w:sz w:val="20"/>
        </w:rPr>
        <w:t xml:space="preserve">77. Имущество Фонда принадлежит Фонду на праве собственности и используется для достижения целей деятельности Фонда и осуществления возложенных на него функций и полномочий.</w:t>
      </w:r>
    </w:p>
    <w:p>
      <w:pPr>
        <w:pStyle w:val="0"/>
        <w:spacing w:before="200" w:line-rule="auto"/>
        <w:ind w:firstLine="540"/>
        <w:jc w:val="both"/>
      </w:pPr>
      <w:r>
        <w:rPr>
          <w:sz w:val="20"/>
        </w:rPr>
        <w:t xml:space="preserve">78. Денежные средства Фонда, в том числе полученные в результате приносящей доход деятельности, расходуются на осуществление возложенных на него функций и полномочий. В части, не урегулированной федеральными законами, использование имущества Фонда для осуществления функций и полномочий, предусмотренных </w:t>
      </w:r>
      <w:hyperlink w:history="0" r:id="rId12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частью 2 статьи 3</w:t>
        </w:r>
      </w:hyperlink>
      <w:r>
        <w:rPr>
          <w:sz w:val="20"/>
        </w:rP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79. Распоряжение имуществом Фонда осуществляется в соответствии с законодательством Российской Федерации и настоящим уставом.</w:t>
      </w:r>
    </w:p>
    <w:p>
      <w:pPr>
        <w:pStyle w:val="0"/>
        <w:spacing w:before="200" w:line-rule="auto"/>
        <w:ind w:firstLine="540"/>
        <w:jc w:val="both"/>
      </w:pPr>
      <w:r>
        <w:rPr>
          <w:sz w:val="20"/>
        </w:rPr>
        <w:t xml:space="preserve">80. Перечень имущества и (или) видов имущества Фонда, на которые не может быть обращено взыскание по обязательствам Фонда, определяется Правительством Российской Федерации.</w:t>
      </w:r>
    </w:p>
    <w:p>
      <w:pPr>
        <w:pStyle w:val="0"/>
        <w:spacing w:before="200" w:line-rule="auto"/>
        <w:ind w:firstLine="540"/>
        <w:jc w:val="both"/>
      </w:pPr>
      <w:r>
        <w:rPr>
          <w:sz w:val="20"/>
        </w:rPr>
        <w:t xml:space="preserve">81. Компенсационный фонд формируется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и имущества, приобретенного за счет инвестирования указанных денежных средств.</w:t>
      </w:r>
    </w:p>
    <w:p>
      <w:pPr>
        <w:pStyle w:val="0"/>
        <w:spacing w:before="200" w:line-rule="auto"/>
        <w:ind w:firstLine="540"/>
        <w:jc w:val="both"/>
      </w:pPr>
      <w:r>
        <w:rPr>
          <w:sz w:val="20"/>
        </w:rPr>
        <w:t xml:space="preserve">82. Компенсационный фонд обособляется от иного имущества Фонда. По компенсационному фонду ведется обособленный учет.</w:t>
      </w:r>
    </w:p>
    <w:p>
      <w:pPr>
        <w:pStyle w:val="0"/>
        <w:spacing w:before="200" w:line-rule="auto"/>
        <w:ind w:firstLine="540"/>
        <w:jc w:val="both"/>
      </w:pPr>
      <w:r>
        <w:rPr>
          <w:sz w:val="20"/>
        </w:rPr>
        <w:t xml:space="preserve">83. Денежные средства компенсационного фонда должны учитываться на отдельном счете, открываемом Фондом в кредитной организации, соответствующей требованиям, установленным Правительством Российской Федерации. Права на ценные бумаги, приобретенные за счет денежных средств компенсационного фонда, учитываются на отдельных счетах депо, открытых Фонду.</w:t>
      </w:r>
    </w:p>
    <w:p>
      <w:pPr>
        <w:pStyle w:val="0"/>
        <w:spacing w:before="200" w:line-rule="auto"/>
        <w:ind w:firstLine="540"/>
        <w:jc w:val="both"/>
      </w:pPr>
      <w:r>
        <w:rPr>
          <w:sz w:val="20"/>
        </w:rPr>
        <w:t xml:space="preserve">84. Средства компенсационного фонда используются только на определенные федеральными законами цели.</w:t>
      </w:r>
    </w:p>
    <w:p>
      <w:pPr>
        <w:pStyle w:val="0"/>
        <w:spacing w:before="200" w:line-rule="auto"/>
        <w:ind w:firstLine="540"/>
        <w:jc w:val="both"/>
      </w:pPr>
      <w:r>
        <w:rPr>
          <w:sz w:val="20"/>
        </w:rPr>
        <w:t xml:space="preserve">Часть доходов, получаемых от инвестирования средств компенсационного фонда, может быть направлена на финансирование деятельности Фонда, связанной с осуществлением функций и полномочий Фонда, предусмотренных Федеральным </w:t>
      </w:r>
      <w:hyperlink w:history="0" r:id="rId122"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85. На имущество, составляющее компенсационный фонд, не может быть обращено взыскание по обязательствам Фонда.</w:t>
      </w:r>
    </w:p>
    <w:p>
      <w:pPr>
        <w:pStyle w:val="0"/>
        <w:jc w:val="both"/>
      </w:pPr>
      <w:r>
        <w:rPr>
          <w:sz w:val="20"/>
        </w:rPr>
      </w:r>
    </w:p>
    <w:p>
      <w:pPr>
        <w:pStyle w:val="2"/>
        <w:outlineLvl w:val="1"/>
        <w:jc w:val="center"/>
      </w:pPr>
      <w:r>
        <w:rPr>
          <w:sz w:val="20"/>
        </w:rPr>
        <w:t xml:space="preserve">IX. Порядок совершения Фондом отдельных видов сделок</w:t>
      </w:r>
    </w:p>
    <w:p>
      <w:pPr>
        <w:pStyle w:val="0"/>
        <w:jc w:val="both"/>
      </w:pPr>
      <w:r>
        <w:rPr>
          <w:sz w:val="20"/>
        </w:rPr>
      </w:r>
    </w:p>
    <w:p>
      <w:pPr>
        <w:pStyle w:val="0"/>
        <w:ind w:firstLine="540"/>
        <w:jc w:val="both"/>
      </w:pPr>
      <w:r>
        <w:rPr>
          <w:sz w:val="20"/>
        </w:rPr>
        <w:t xml:space="preserve">86. Генеральный директор Фонда, члены наблюдательного совета Фонда и члены правления Фонда обязаны через секретаря наблюдательного совета Фонда довести до сведения наблюдательного совета Фонда и службы внутреннего аудита Фонда информацию:</w:t>
      </w:r>
    </w:p>
    <w:p>
      <w:pPr>
        <w:pStyle w:val="0"/>
        <w:spacing w:before="200" w:line-rule="auto"/>
        <w:ind w:firstLine="540"/>
        <w:jc w:val="both"/>
      </w:pPr>
      <w:r>
        <w:rPr>
          <w:sz w:val="20"/>
        </w:rPr>
        <w:t xml:space="preserve">1) о юридических лицах, в которых они владеют самостоятельно или совместно со своим аффилированным лицом (лицами) 20 и более процентами голосующих акций (долей, паев);</w:t>
      </w:r>
    </w:p>
    <w:p>
      <w:pPr>
        <w:pStyle w:val="0"/>
        <w:spacing w:before="200" w:line-rule="auto"/>
        <w:ind w:firstLine="540"/>
        <w:jc w:val="both"/>
      </w:pPr>
      <w:r>
        <w:rPr>
          <w:sz w:val="20"/>
        </w:rPr>
        <w:t xml:space="preserve">2) о юридических лицах, в органах управления которых они занимают должности;</w:t>
      </w:r>
    </w:p>
    <w:p>
      <w:pPr>
        <w:pStyle w:val="0"/>
        <w:spacing w:before="200" w:line-rule="auto"/>
        <w:ind w:firstLine="540"/>
        <w:jc w:val="both"/>
      </w:pPr>
      <w:r>
        <w:rPr>
          <w:sz w:val="20"/>
        </w:rPr>
        <w:t xml:space="preserve">3) об известных им совершаемых или предполагаемых сделках, в которых они могут быть признаны заинтересованными лицами.</w:t>
      </w:r>
    </w:p>
    <w:p>
      <w:pPr>
        <w:pStyle w:val="0"/>
        <w:spacing w:before="200" w:line-rule="auto"/>
        <w:ind w:firstLine="540"/>
        <w:jc w:val="both"/>
      </w:pPr>
      <w:r>
        <w:rPr>
          <w:sz w:val="20"/>
        </w:rPr>
        <w:t xml:space="preserve">87. Решение об одобрении сделки, в совершении которой имеется заинтересованность, принимается наблюдательным советом Фонда большинством голосов всех не заинтересованных в сделке членов наблюдательного совета Фонда.</w:t>
      </w:r>
    </w:p>
    <w:p>
      <w:pPr>
        <w:pStyle w:val="0"/>
        <w:spacing w:before="200" w:line-rule="auto"/>
        <w:ind w:firstLine="540"/>
        <w:jc w:val="both"/>
      </w:pPr>
      <w:r>
        <w:rPr>
          <w:sz w:val="20"/>
        </w:rPr>
        <w:t xml:space="preserve">88. Сделка, в совершении которой имеется заинтересованность, не требует одобрения наблюдательным советом Фондом, если условия такой сделки существенно не отличаются от условий аналогичных сделок, которые совершались Фондом и заинтересованным лицом в процессе осуществления обычной хозяйственной деятельности, имевшей место до момента, когда заинтересованное лицо признается таковым.</w:t>
      </w:r>
    </w:p>
    <w:p>
      <w:pPr>
        <w:pStyle w:val="0"/>
        <w:spacing w:before="200" w:line-rule="auto"/>
        <w:ind w:firstLine="540"/>
        <w:jc w:val="both"/>
      </w:pPr>
      <w:r>
        <w:rPr>
          <w:sz w:val="20"/>
        </w:rPr>
        <w:t xml:space="preserve">89. В решении об одобрении сделки, в совершении которой имеется заинтересованность, должны быть указаны лицо (лица), являющееся ее стороной, выгодоприобретателем (выгодоприобретателями), цена, предмет сделки и иные ее существенные условия или порядок их определения. Решение об одобрении сделки, в совершении которой имеется заинтересованность, может содержать указание на одобрение совершения ряда аналогичных сделок, а также иные условия, в том числе срок, в течение которого действительно такое решение. В случае если этот срок в решении не указан, решение об одобрении сделки, в совершении которой имеется заинтересованность, действует в течение одного года со дня его принятия, за исключением случаев, если иной срок вытекает из существа и условий сделки, в совершении которой имеется заинтересованность и в отношении которой было принято решение о ее одобрении, либо обстоятельств, при которых было принято решение об одобрении сделки.</w:t>
      </w:r>
    </w:p>
    <w:p>
      <w:pPr>
        <w:pStyle w:val="0"/>
        <w:spacing w:before="200" w:line-rule="auto"/>
        <w:ind w:firstLine="540"/>
        <w:jc w:val="both"/>
      </w:pPr>
      <w:r>
        <w:rPr>
          <w:sz w:val="20"/>
        </w:rPr>
        <w:t xml:space="preserve">90. Сделки с недвижимым имуществом Фонда, переданным в качестве имущественного взноса Российской Федерации, совершаются при условии предварительного одобрения большинством голосов членов наблюдательного совета Фонда, за исключением случаев, установленных нормативными правовыми актами Правительства Российской Федерации и настоящим уставом.</w:t>
      </w:r>
    </w:p>
    <w:p>
      <w:pPr>
        <w:pStyle w:val="0"/>
        <w:jc w:val="both"/>
      </w:pPr>
      <w:r>
        <w:rPr>
          <w:sz w:val="20"/>
        </w:rPr>
        <w:t xml:space="preserve">(в ред. Постановлений Правительства РФ от 04.07.2023 </w:t>
      </w:r>
      <w:hyperlink w:history="0" r:id="rId123" w:tooltip="Постановление Правительства РФ от 04.07.2023 N 1099 (ред. от 06.03.2024) &quot;Об утверждении Правил передачи публично-правовой компанией &quot;Фонд развития территорий&quot; в аренду имущества, расположенного на территориях Донецкой Народной Республики, Луганской Народной Республики, Запорожской области и Херсонской области, и о внесении изменений в устав публично-правовой компании &quot;Фонд развития территорий&quot; {КонсультантПлюс}">
        <w:r>
          <w:rPr>
            <w:sz w:val="20"/>
            <w:color w:val="0000ff"/>
          </w:rPr>
          <w:t xml:space="preserve">N 1099</w:t>
        </w:r>
      </w:hyperlink>
      <w:r>
        <w:rPr>
          <w:sz w:val="20"/>
        </w:rPr>
        <w:t xml:space="preserve">, от 23.07.2024 </w:t>
      </w:r>
      <w:hyperlink w:history="0" r:id="rId124"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N 998</w:t>
        </w:r>
      </w:hyperlink>
      <w:r>
        <w:rPr>
          <w:sz w:val="20"/>
        </w:rPr>
        <w:t xml:space="preserve">)</w:t>
      </w:r>
    </w:p>
    <w:p>
      <w:pPr>
        <w:pStyle w:val="0"/>
        <w:spacing w:before="200" w:line-rule="auto"/>
        <w:ind w:firstLine="540"/>
        <w:jc w:val="both"/>
      </w:pPr>
      <w:r>
        <w:rPr>
          <w:sz w:val="20"/>
        </w:rPr>
        <w:t xml:space="preserve">Без предварительного одобрения большинством голосов членов наблюдательного совета Фонда сделки (за исключением сделки, в совершении которой имеется заинтересованность генерального директора Фонда, члена наблюдательного совета Фонда или члена правления Фонда) осуществляется передача Фондом участникам свободной экономической зоны на территориях Донецкой Народной Республики, Луганской Народной Республики, Запорожской области и Херсонской области в аренду (субаренду) земельных участков, необходимых для реализации участниками договоров об условиях деятельности в свободной экономической зоне.</w:t>
      </w:r>
    </w:p>
    <w:p>
      <w:pPr>
        <w:pStyle w:val="0"/>
        <w:jc w:val="both"/>
      </w:pPr>
      <w:r>
        <w:rPr>
          <w:sz w:val="20"/>
        </w:rPr>
        <w:t xml:space="preserve">(абзац введен </w:t>
      </w:r>
      <w:hyperlink w:history="0" r:id="rId125" w:tooltip="Постановление Правительства РФ от 23.07.2024 N 998 &quot;О внесении изменений в постановление Правительства Российской Федерации от 7 октября 2017 г. N 1231&quot; {КонсультантПлюс}">
        <w:r>
          <w:rPr>
            <w:sz w:val="20"/>
            <w:color w:val="0000ff"/>
          </w:rPr>
          <w:t xml:space="preserve">Постановлением</w:t>
        </w:r>
      </w:hyperlink>
      <w:r>
        <w:rPr>
          <w:sz w:val="20"/>
        </w:rPr>
        <w:t xml:space="preserve"> Правительства РФ от 23.07.2024 N 998)</w:t>
      </w:r>
    </w:p>
    <w:p>
      <w:pPr>
        <w:pStyle w:val="0"/>
        <w:jc w:val="both"/>
      </w:pPr>
      <w:r>
        <w:rPr>
          <w:sz w:val="20"/>
        </w:rPr>
      </w:r>
    </w:p>
    <w:p>
      <w:pPr>
        <w:pStyle w:val="2"/>
        <w:outlineLvl w:val="1"/>
        <w:jc w:val="center"/>
      </w:pPr>
      <w:r>
        <w:rPr>
          <w:sz w:val="20"/>
        </w:rPr>
        <w:t xml:space="preserve">X. Учет и отчетность Фонда, документы Фонда</w:t>
      </w:r>
    </w:p>
    <w:p>
      <w:pPr>
        <w:pStyle w:val="0"/>
        <w:jc w:val="both"/>
      </w:pPr>
      <w:r>
        <w:rPr>
          <w:sz w:val="20"/>
        </w:rPr>
      </w:r>
    </w:p>
    <w:p>
      <w:pPr>
        <w:pStyle w:val="0"/>
        <w:ind w:firstLine="540"/>
        <w:jc w:val="both"/>
      </w:pPr>
      <w:r>
        <w:rPr>
          <w:sz w:val="20"/>
        </w:rPr>
        <w:t xml:space="preserve">91. Фонд ведет бухгалтерский учет, составляет и представляет бухгалтерскую (финансовую) и статистическую отчетность в порядке, установленном законодательством Российской Федерации.</w:t>
      </w:r>
    </w:p>
    <w:p>
      <w:pPr>
        <w:pStyle w:val="0"/>
        <w:spacing w:before="200" w:line-rule="auto"/>
        <w:ind w:firstLine="540"/>
        <w:jc w:val="both"/>
      </w:pPr>
      <w:r>
        <w:rPr>
          <w:sz w:val="20"/>
        </w:rPr>
        <w:t xml:space="preserve">92. Фонд представляет информацию о своей деятельности органам государственной статистики, налоговым органам и иным лицам в соответствии с </w:t>
      </w:r>
      <w:hyperlink w:history="0" r:id="rId1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Указанные лица вправе получать информацию о деятельности Фонда, содержащую государственную тайну, в порядке, предусмотренном законодательством Российской Федерации о государственной тайне.</w:t>
      </w:r>
    </w:p>
    <w:p>
      <w:pPr>
        <w:pStyle w:val="0"/>
        <w:jc w:val="both"/>
      </w:pPr>
      <w:r>
        <w:rPr>
          <w:sz w:val="20"/>
        </w:rPr>
        <w:t xml:space="preserve">(в ред. </w:t>
      </w:r>
      <w:hyperlink w:history="0" r:id="rId127" w:tooltip="Постановление Правительства РФ от 26.04.2023 N 6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26.04.2023 N 661)</w:t>
      </w:r>
    </w:p>
    <w:p>
      <w:pPr>
        <w:pStyle w:val="0"/>
        <w:spacing w:before="200" w:line-rule="auto"/>
        <w:ind w:firstLine="540"/>
        <w:jc w:val="both"/>
      </w:pPr>
      <w:r>
        <w:rPr>
          <w:sz w:val="20"/>
        </w:rPr>
        <w:t xml:space="preserve">93. Фонд обязан ежегодно составлять годовой отчет.</w:t>
      </w:r>
    </w:p>
    <w:p>
      <w:pPr>
        <w:pStyle w:val="0"/>
        <w:spacing w:before="200" w:line-rule="auto"/>
        <w:ind w:firstLine="540"/>
        <w:jc w:val="both"/>
      </w:pPr>
      <w:r>
        <w:rPr>
          <w:sz w:val="20"/>
        </w:rPr>
        <w:t xml:space="preserve">94. Годовой отчет Фонда включает в себя сведения и информацию, предусмотренные федеральными законами.</w:t>
      </w:r>
    </w:p>
    <w:p>
      <w:pPr>
        <w:pStyle w:val="0"/>
        <w:spacing w:before="200" w:line-rule="auto"/>
        <w:ind w:firstLine="540"/>
        <w:jc w:val="both"/>
      </w:pPr>
      <w:r>
        <w:rPr>
          <w:sz w:val="20"/>
        </w:rPr>
        <w:t xml:space="preserve">95. Годовой отчет Фонда ежегодно подготавливается генеральным директором Фонда, рассматривается правлением Фонда и направляется в наблюдательный совет Фонда не позднее 1 июня года, следующего за отчетным годом.</w:t>
      </w:r>
    </w:p>
    <w:p>
      <w:pPr>
        <w:pStyle w:val="0"/>
        <w:spacing w:before="200" w:line-rule="auto"/>
        <w:ind w:firstLine="540"/>
        <w:jc w:val="both"/>
      </w:pPr>
      <w:r>
        <w:rPr>
          <w:sz w:val="20"/>
        </w:rPr>
        <w:t xml:space="preserve">96. Наблюдательный совет Фонда утверждает годовой отчет Фонда до 1 июля года, следующего за отчетным годом.</w:t>
      </w:r>
    </w:p>
    <w:p>
      <w:pPr>
        <w:pStyle w:val="0"/>
        <w:spacing w:before="200" w:line-rule="auto"/>
        <w:ind w:firstLine="540"/>
        <w:jc w:val="both"/>
      </w:pPr>
      <w:r>
        <w:rPr>
          <w:sz w:val="20"/>
        </w:rPr>
        <w:t xml:space="preserve">97. Годовой отчет Фонда направляется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Счетную палату Российской Федерации и Общественную палату Российской Федерации до 15 июля года, следующего за отчетным годом.</w:t>
      </w:r>
    </w:p>
    <w:p>
      <w:pPr>
        <w:pStyle w:val="0"/>
        <w:spacing w:before="200" w:line-rule="auto"/>
        <w:ind w:firstLine="540"/>
        <w:jc w:val="both"/>
      </w:pPr>
      <w:r>
        <w:rPr>
          <w:sz w:val="20"/>
        </w:rPr>
        <w:t xml:space="preserve">98. Годовой отчет Фонда в установленном наблюдательным советом Фонда порядке подлежит обязательному опубликованию путем размещения на официальном сайте Фонда в информационно-телекоммуникационной сети "Интернет" в объеме, определенном решением наблюдательного совета Фонда, до 15 июля года, следующего за отчетным годом, с соблюдением требований законодательства Российской Федерации о государственной тайне.</w:t>
      </w:r>
    </w:p>
    <w:p>
      <w:pPr>
        <w:pStyle w:val="0"/>
        <w:spacing w:before="200" w:line-rule="auto"/>
        <w:ind w:firstLine="540"/>
        <w:jc w:val="both"/>
      </w:pPr>
      <w:r>
        <w:rPr>
          <w:sz w:val="20"/>
        </w:rPr>
        <w:t xml:space="preserve">99. Фонд составляет консолидированную финансовую отчетность в соответствии с требованиями Федерального </w:t>
      </w:r>
      <w:hyperlink w:history="0" r:id="rId128" w:tooltip="Федеральный закон от 27.07.2010 N 208-ФЗ (ред. от 22.07.2024) &quot;О консолидированной финансовой отчетности&quot; {КонсультантПлюс}">
        <w:r>
          <w:rPr>
            <w:sz w:val="20"/>
            <w:color w:val="0000ff"/>
          </w:rPr>
          <w:t xml:space="preserve">закона</w:t>
        </w:r>
      </w:hyperlink>
      <w:r>
        <w:rPr>
          <w:sz w:val="20"/>
        </w:rPr>
        <w:t xml:space="preserve"> "О консолидированной финансовой отчетности".</w:t>
      </w:r>
    </w:p>
    <w:bookmarkStart w:id="459" w:name="P459"/>
    <w:bookmarkEnd w:id="459"/>
    <w:p>
      <w:pPr>
        <w:pStyle w:val="0"/>
        <w:spacing w:before="200" w:line-rule="auto"/>
        <w:ind w:firstLine="540"/>
        <w:jc w:val="both"/>
      </w:pPr>
      <w:r>
        <w:rPr>
          <w:sz w:val="20"/>
        </w:rPr>
        <w:t xml:space="preserve">100. Годовая бухгалтерская (финансовая) отчетность и годовая консолидированная финансовая отчетность Фонда подлежат ежегодному обязательному аудиту отобранной на конкурсной основе в соответствии с Федеральным </w:t>
      </w:r>
      <w:hyperlink w:history="0" r:id="rId12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публично-правовых компаниях в Российской Федерации и о внесении изменений в отдельные законодательные акты Российской Федерации" аудиторской организацией. Аудиторское заключение размещается на официальном сайте Фонда в информационно-телекоммуникационной сети "Интернет" и подлежит направлению в Министерство строительства и жилищно-коммунального хозяйства Российской Федерации и Правительство Российской Федерации.</w:t>
      </w:r>
    </w:p>
    <w:p>
      <w:pPr>
        <w:pStyle w:val="0"/>
        <w:spacing w:before="200" w:line-rule="auto"/>
        <w:ind w:firstLine="540"/>
        <w:jc w:val="both"/>
      </w:pPr>
      <w:r>
        <w:rPr>
          <w:sz w:val="20"/>
        </w:rPr>
        <w:t xml:space="preserve">101. Аудиторское заключение представляется в наблюдательный совет Фонда правлением Фонда одновременно с годовым отчетом Фонда.</w:t>
      </w:r>
    </w:p>
    <w:p>
      <w:pPr>
        <w:pStyle w:val="0"/>
        <w:spacing w:before="200" w:line-rule="auto"/>
        <w:ind w:firstLine="540"/>
        <w:jc w:val="both"/>
      </w:pPr>
      <w:r>
        <w:rPr>
          <w:sz w:val="20"/>
        </w:rPr>
        <w:t xml:space="preserve">102. Аудит промежуточной бухгалтерской (финансовой) отчетности и промежуточной консолидированной финансовой отчетности Фонда может быть проведен по решению наблюдательного совета Фонда аудиторской организацией, указанной в </w:t>
      </w:r>
      <w:hyperlink w:history="0" w:anchor="P459" w:tooltip="100. Годовая бухгалтерская (финансовая) отчетность и годовая консолидированная финансовая отчетность Фонда подлежат ежегодному обязательному аудиту отобранной на конкурсной основе в соответствии с Федеральным законом &quot;О публично-правовых компаниях в Российской Федерации и о внесении изменений в отдельные законодательные акты Российской Федерации&quot; аудиторской организацией. Аудиторское заключение размещается на официальном сайте Фонда в информационно-телекоммуникационной сети &quot;Интернет&quot; и подлежит направле...">
        <w:r>
          <w:rPr>
            <w:sz w:val="20"/>
            <w:color w:val="0000ff"/>
          </w:rPr>
          <w:t xml:space="preserve">пункте 100</w:t>
        </w:r>
      </w:hyperlink>
      <w:r>
        <w:rPr>
          <w:sz w:val="20"/>
        </w:rPr>
        <w:t xml:space="preserve"> настоящего устава. Аудиторское заключение в этом случае представляется в наблюдательный совет Фонда правлением Фонда в срок, определенный наблюдательным советом Фонда.</w:t>
      </w:r>
    </w:p>
    <w:p>
      <w:pPr>
        <w:pStyle w:val="0"/>
        <w:spacing w:before="200" w:line-rule="auto"/>
        <w:ind w:firstLine="540"/>
        <w:jc w:val="both"/>
      </w:pPr>
      <w:r>
        <w:rPr>
          <w:sz w:val="20"/>
        </w:rPr>
        <w:t xml:space="preserve">103.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pPr>
        <w:pStyle w:val="0"/>
        <w:spacing w:before="200" w:line-rule="auto"/>
        <w:ind w:firstLine="540"/>
        <w:jc w:val="both"/>
      </w:pPr>
      <w:r>
        <w:rPr>
          <w:sz w:val="20"/>
        </w:rPr>
        <w:t xml:space="preserve">104. Деятельность Фонда подлежит ежегодному актуарному оцениванию. Обязательное актуарное оценивание проводится в соответствии с законодательством об актуарной деятельности. Актуарное заключение размещается на официальном сайте Фонда в информационно-телекоммуникационной сети "Интернет" и подлежит направлению в Министерство строительства и жилищно-коммунального хозяйства Российской Федерации и Правительство Российской Федерации.</w:t>
      </w:r>
    </w:p>
    <w:p>
      <w:pPr>
        <w:pStyle w:val="0"/>
        <w:spacing w:before="200" w:line-rule="auto"/>
        <w:ind w:firstLine="540"/>
        <w:jc w:val="both"/>
      </w:pPr>
      <w:r>
        <w:rPr>
          <w:sz w:val="20"/>
        </w:rPr>
        <w:t xml:space="preserve">105. Фонд размещает в открытом доступе на своем официальном сайте в информационно-телекоммуникационной сети "Интернет" документы и информацию в соответствии с федеральными законами.</w:t>
      </w:r>
    </w:p>
    <w:p>
      <w:pPr>
        <w:pStyle w:val="0"/>
        <w:spacing w:before="200" w:line-rule="auto"/>
        <w:ind w:firstLine="540"/>
        <w:jc w:val="both"/>
      </w:pPr>
      <w:r>
        <w:rPr>
          <w:sz w:val="20"/>
        </w:rPr>
        <w:t xml:space="preserve">106. Фонд хранит следующие документы и обеспечивает доступ членов наблюдательного совета Фонда и членов правления Фонда к ним:</w:t>
      </w:r>
    </w:p>
    <w:p>
      <w:pPr>
        <w:pStyle w:val="0"/>
        <w:spacing w:before="200" w:line-rule="auto"/>
        <w:ind w:firstLine="540"/>
        <w:jc w:val="both"/>
      </w:pPr>
      <w:r>
        <w:rPr>
          <w:sz w:val="20"/>
        </w:rPr>
        <w:t xml:space="preserve">1) настоящий устав, включая внесенные в него изменения, зарегистрированный в установленном порядке;</w:t>
      </w:r>
    </w:p>
    <w:p>
      <w:pPr>
        <w:pStyle w:val="0"/>
        <w:spacing w:before="200" w:line-rule="auto"/>
        <w:ind w:firstLine="540"/>
        <w:jc w:val="both"/>
      </w:pPr>
      <w:r>
        <w:rPr>
          <w:sz w:val="20"/>
        </w:rPr>
        <w:t xml:space="preserve">2) документы, подтверждающие права Фонда на имущество;</w:t>
      </w:r>
    </w:p>
    <w:p>
      <w:pPr>
        <w:pStyle w:val="0"/>
        <w:spacing w:before="200" w:line-rule="auto"/>
        <w:ind w:firstLine="540"/>
        <w:jc w:val="both"/>
      </w:pPr>
      <w:r>
        <w:rPr>
          <w:sz w:val="20"/>
        </w:rPr>
        <w:t xml:space="preserve">3) внутренние документы Фонда;</w:t>
      </w:r>
    </w:p>
    <w:p>
      <w:pPr>
        <w:pStyle w:val="0"/>
        <w:spacing w:before="200" w:line-rule="auto"/>
        <w:ind w:firstLine="540"/>
        <w:jc w:val="both"/>
      </w:pPr>
      <w:r>
        <w:rPr>
          <w:sz w:val="20"/>
        </w:rPr>
        <w:t xml:space="preserve">4) положения о филиале и представительстве Фонда;</w:t>
      </w:r>
    </w:p>
    <w:p>
      <w:pPr>
        <w:pStyle w:val="0"/>
        <w:spacing w:before="200" w:line-rule="auto"/>
        <w:ind w:firstLine="540"/>
        <w:jc w:val="both"/>
      </w:pPr>
      <w:r>
        <w:rPr>
          <w:sz w:val="20"/>
        </w:rPr>
        <w:t xml:space="preserve">5) годовые отчеты Фонда;</w:t>
      </w:r>
    </w:p>
    <w:p>
      <w:pPr>
        <w:pStyle w:val="0"/>
        <w:spacing w:before="200" w:line-rule="auto"/>
        <w:ind w:firstLine="540"/>
        <w:jc w:val="both"/>
      </w:pPr>
      <w:r>
        <w:rPr>
          <w:sz w:val="20"/>
        </w:rPr>
        <w:t xml:space="preserve">6) документы бухгалтерского учета;</w:t>
      </w:r>
    </w:p>
    <w:p>
      <w:pPr>
        <w:pStyle w:val="0"/>
        <w:spacing w:before="200" w:line-rule="auto"/>
        <w:ind w:firstLine="540"/>
        <w:jc w:val="both"/>
      </w:pPr>
      <w:r>
        <w:rPr>
          <w:sz w:val="20"/>
        </w:rPr>
        <w:t xml:space="preserve">7) протоколы заседаний наблюдательного совета Фонда и правления Фонда;</w:t>
      </w:r>
    </w:p>
    <w:p>
      <w:pPr>
        <w:pStyle w:val="0"/>
        <w:spacing w:before="200" w:line-rule="auto"/>
        <w:ind w:firstLine="540"/>
        <w:jc w:val="both"/>
      </w:pPr>
      <w:r>
        <w:rPr>
          <w:sz w:val="20"/>
        </w:rPr>
        <w:t xml:space="preserve">8) аудиторское заключение о годовой бухгалтерской (финансовой) отчетности Фонда, заключения государственных органов финансового контроля, а также актуарные заключения;</w:t>
      </w:r>
    </w:p>
    <w:p>
      <w:pPr>
        <w:pStyle w:val="0"/>
        <w:spacing w:before="200" w:line-rule="auto"/>
        <w:ind w:firstLine="540"/>
        <w:jc w:val="both"/>
      </w:pPr>
      <w:r>
        <w:rPr>
          <w:sz w:val="20"/>
        </w:rPr>
        <w:t xml:space="preserve">9) иные документы, предусмотренные законодательством Российской Федерации и внутренними документами Фонда (включая решения наблюдательного совета Фонда и правления Фонда).</w:t>
      </w:r>
    </w:p>
    <w:p>
      <w:pPr>
        <w:pStyle w:val="0"/>
        <w:jc w:val="both"/>
      </w:pPr>
      <w:r>
        <w:rPr>
          <w:sz w:val="20"/>
        </w:rPr>
      </w:r>
    </w:p>
    <w:p>
      <w:pPr>
        <w:pStyle w:val="2"/>
        <w:outlineLvl w:val="1"/>
        <w:jc w:val="center"/>
      </w:pPr>
      <w:r>
        <w:rPr>
          <w:sz w:val="20"/>
        </w:rPr>
        <w:t xml:space="preserve">XI. Внутренний контроль и внутренний аудит</w:t>
      </w:r>
    </w:p>
    <w:p>
      <w:pPr>
        <w:pStyle w:val="0"/>
        <w:jc w:val="both"/>
      </w:pPr>
      <w:r>
        <w:rPr>
          <w:sz w:val="20"/>
        </w:rPr>
      </w:r>
    </w:p>
    <w:p>
      <w:pPr>
        <w:pStyle w:val="0"/>
        <w:ind w:firstLine="540"/>
        <w:jc w:val="both"/>
      </w:pPr>
      <w:r>
        <w:rPr>
          <w:sz w:val="20"/>
        </w:rPr>
        <w:t xml:space="preserve">107. Фонд создает систему внутреннего контроля, направленную:</w:t>
      </w:r>
    </w:p>
    <w:p>
      <w:pPr>
        <w:pStyle w:val="0"/>
        <w:spacing w:before="200" w:line-rule="auto"/>
        <w:ind w:firstLine="540"/>
        <w:jc w:val="both"/>
      </w:pPr>
      <w:r>
        <w:rPr>
          <w:sz w:val="20"/>
        </w:rPr>
        <w:t xml:space="preserve">1) на обеспечение эффективности и результативности деятельности Фонда, соответствия такой деятельности стратегии развития Фонда и иным документам, определяющим планы деятельности Фонда;</w:t>
      </w:r>
    </w:p>
    <w:p>
      <w:pPr>
        <w:pStyle w:val="0"/>
        <w:spacing w:before="200" w:line-rule="auto"/>
        <w:ind w:firstLine="540"/>
        <w:jc w:val="both"/>
      </w:pPr>
      <w:r>
        <w:rPr>
          <w:sz w:val="20"/>
        </w:rPr>
        <w:t xml:space="preserve">2) на обеспечение эффективности управления имуществом Фонда, в том числе денежными средствами Фонда;</w:t>
      </w:r>
    </w:p>
    <w:p>
      <w:pPr>
        <w:pStyle w:val="0"/>
        <w:spacing w:before="200" w:line-rule="auto"/>
        <w:ind w:firstLine="540"/>
        <w:jc w:val="both"/>
      </w:pPr>
      <w:r>
        <w:rPr>
          <w:sz w:val="20"/>
        </w:rPr>
        <w:t xml:space="preserve">3) на соблюдение целевого использования средств Фонда, в том числе средств резервного фонда и иных целевых фондов Фонда, если их формирование предусмотрено решениями наблюдательного совета Фонда;</w:t>
      </w:r>
    </w:p>
    <w:p>
      <w:pPr>
        <w:pStyle w:val="0"/>
        <w:spacing w:before="200" w:line-rule="auto"/>
        <w:ind w:firstLine="540"/>
        <w:jc w:val="both"/>
      </w:pPr>
      <w:r>
        <w:rPr>
          <w:sz w:val="20"/>
        </w:rPr>
        <w:t xml:space="preserve">4) на обеспечение эффективности управления рисками;</w:t>
      </w:r>
    </w:p>
    <w:p>
      <w:pPr>
        <w:pStyle w:val="0"/>
        <w:spacing w:before="200" w:line-rule="auto"/>
        <w:ind w:firstLine="540"/>
        <w:jc w:val="both"/>
      </w:pPr>
      <w:r>
        <w:rPr>
          <w:sz w:val="20"/>
        </w:rPr>
        <w:t xml:space="preserve">5) на обеспечение достоверности, полноты, объективности годового отчета Фонда, своевременности его составления и представления;</w:t>
      </w:r>
    </w:p>
    <w:p>
      <w:pPr>
        <w:pStyle w:val="0"/>
        <w:spacing w:before="200" w:line-rule="auto"/>
        <w:ind w:firstLine="540"/>
        <w:jc w:val="both"/>
      </w:pPr>
      <w:r>
        <w:rPr>
          <w:sz w:val="20"/>
        </w:rPr>
        <w:t xml:space="preserve">6) на достижение целевых показателей в соответствии с годовым финансовым планом (бюджетом) Фонда и иными документами, определяющими планы деятельности Фонда.</w:t>
      </w:r>
    </w:p>
    <w:p>
      <w:pPr>
        <w:pStyle w:val="0"/>
        <w:spacing w:before="200" w:line-rule="auto"/>
        <w:ind w:firstLine="540"/>
        <w:jc w:val="both"/>
      </w:pPr>
      <w:r>
        <w:rPr>
          <w:sz w:val="20"/>
        </w:rPr>
        <w:t xml:space="preserve">108. В целях обеспечения надлежащего уровня надежности внутреннего контроля, оценки его эффективности и проверки соответствия деятельности Фонда законодательству Российской Федерации, в том числе Федеральному </w:t>
      </w:r>
      <w:hyperlink w:history="0" r:id="rId13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закону</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а также настоящему уставу, стратегии развития Фонда и положениям иных внутренних организационно-распорядительных документов Фонд организует внутренний аудит, для чего создается структурное подразделение Фонда (служба внутреннего аудита).</w:t>
      </w:r>
    </w:p>
    <w:p>
      <w:pPr>
        <w:pStyle w:val="0"/>
        <w:spacing w:before="200" w:line-rule="auto"/>
        <w:ind w:firstLine="540"/>
        <w:jc w:val="both"/>
      </w:pPr>
      <w:r>
        <w:rPr>
          <w:sz w:val="20"/>
        </w:rPr>
        <w:t xml:space="preserve">109. Руководитель службы внутреннего аудита назначается на должность и освобождается от должности наблюдательным советом Фонда, подчинен и подотчетен наблюдательному совету Фонда, а также комитету по аудиту при наблюдательном совете Фонда.</w:t>
      </w:r>
    </w:p>
    <w:p>
      <w:pPr>
        <w:pStyle w:val="0"/>
        <w:spacing w:before="200" w:line-rule="auto"/>
        <w:ind w:firstLine="540"/>
        <w:jc w:val="both"/>
      </w:pPr>
      <w:r>
        <w:rPr>
          <w:sz w:val="20"/>
        </w:rPr>
        <w:t xml:space="preserve">110. Для лица, назначенного на должность руководителя или работника службы внутреннего аудита, совмещение должностей в Фонде не допускается.</w:t>
      </w:r>
    </w:p>
    <w:p>
      <w:pPr>
        <w:pStyle w:val="0"/>
        <w:spacing w:before="200" w:line-rule="auto"/>
        <w:ind w:firstLine="540"/>
        <w:jc w:val="both"/>
      </w:pPr>
      <w:r>
        <w:rPr>
          <w:sz w:val="20"/>
        </w:rPr>
        <w:t xml:space="preserve">Руководитель и работники службы внутреннего аудита, ранее занимавшие должности в других структурных подразделениях Фонда, могут участвовать в проверке деятельности этих структурных подразделений по истечении 12 месяцев со дня окончания работы в таких структурных подразделениях.</w:t>
      </w:r>
    </w:p>
    <w:p>
      <w:pPr>
        <w:pStyle w:val="0"/>
        <w:spacing w:before="200" w:line-rule="auto"/>
        <w:ind w:firstLine="540"/>
        <w:jc w:val="both"/>
      </w:pPr>
      <w:r>
        <w:rPr>
          <w:sz w:val="20"/>
        </w:rPr>
        <w:t xml:space="preserve">111. Служба внутреннего аудита осуществляет следующие полномочия:</w:t>
      </w:r>
    </w:p>
    <w:p>
      <w:pPr>
        <w:pStyle w:val="0"/>
        <w:spacing w:before="200" w:line-rule="auto"/>
        <w:ind w:firstLine="540"/>
        <w:jc w:val="both"/>
      </w:pPr>
      <w:r>
        <w:rPr>
          <w:sz w:val="20"/>
        </w:rPr>
        <w:t xml:space="preserve">1) подготавливает предложения о формировании системы внутреннего контроля Фонда, а также обеспечивает эффективность ее функционирования;</w:t>
      </w:r>
    </w:p>
    <w:p>
      <w:pPr>
        <w:pStyle w:val="0"/>
        <w:spacing w:before="200" w:line-rule="auto"/>
        <w:ind w:firstLine="540"/>
        <w:jc w:val="both"/>
      </w:pPr>
      <w:r>
        <w:rPr>
          <w:sz w:val="20"/>
        </w:rPr>
        <w:t xml:space="preserve">2) проверяет соответствие деятельности Фонда законодательству Российской Федерации, в том числе Федеральному </w:t>
      </w:r>
      <w:hyperlink w:history="0" r:id="rId13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закону</w:t>
        </w:r>
      </w:hyperlink>
      <w:r>
        <w:rPr>
          <w:sz w:val="20"/>
        </w:rPr>
        <w:t xml:space="preserve"> "О публично-правовой компании "Фонд развития территорий" и о внесении изменений в отдельные законодательные акты Российской Федерации", настоящему уставу, стратегии развития Фонда и положениям иных внутренних организационно-распорядительных документов;</w:t>
      </w:r>
    </w:p>
    <w:p>
      <w:pPr>
        <w:pStyle w:val="0"/>
        <w:spacing w:before="200" w:line-rule="auto"/>
        <w:ind w:firstLine="540"/>
        <w:jc w:val="both"/>
      </w:pPr>
      <w:r>
        <w:rPr>
          <w:sz w:val="20"/>
        </w:rPr>
        <w:t xml:space="preserve">3) осуществляет анализ причин выявленных по результатам проверок нарушений и недостатков в деятельности Фонда;</w:t>
      </w:r>
    </w:p>
    <w:p>
      <w:pPr>
        <w:pStyle w:val="0"/>
        <w:spacing w:before="200" w:line-rule="auto"/>
        <w:ind w:firstLine="540"/>
        <w:jc w:val="both"/>
      </w:pPr>
      <w:r>
        <w:rPr>
          <w:sz w:val="20"/>
        </w:rPr>
        <w:t xml:space="preserve">4) вырабатывает рекомендации по предупреждению нарушений и недостатков в деятельности Фонда;</w:t>
      </w:r>
    </w:p>
    <w:p>
      <w:pPr>
        <w:pStyle w:val="0"/>
        <w:spacing w:before="200" w:line-rule="auto"/>
        <w:ind w:firstLine="540"/>
        <w:jc w:val="both"/>
      </w:pPr>
      <w:r>
        <w:rPr>
          <w:sz w:val="20"/>
        </w:rPr>
        <w:t xml:space="preserve">5) осуществляет оценку целесообразности и эффективности совершенных Фондом сделок;</w:t>
      </w:r>
    </w:p>
    <w:p>
      <w:pPr>
        <w:pStyle w:val="0"/>
        <w:spacing w:before="200" w:line-rule="auto"/>
        <w:ind w:firstLine="540"/>
        <w:jc w:val="both"/>
      </w:pPr>
      <w:r>
        <w:rPr>
          <w:sz w:val="20"/>
        </w:rPr>
        <w:t xml:space="preserve">6) осуществляет проверку обеспечения сохранности активов Фонда.</w:t>
      </w:r>
    </w:p>
    <w:p>
      <w:pPr>
        <w:pStyle w:val="0"/>
        <w:spacing w:before="200" w:line-rule="auto"/>
        <w:ind w:firstLine="540"/>
        <w:jc w:val="both"/>
      </w:pPr>
      <w:r>
        <w:rPr>
          <w:sz w:val="20"/>
        </w:rPr>
        <w:t xml:space="preserve">112. Служба внутреннего аудита вправе:</w:t>
      </w:r>
    </w:p>
    <w:p>
      <w:pPr>
        <w:pStyle w:val="0"/>
        <w:spacing w:before="200" w:line-rule="auto"/>
        <w:ind w:firstLine="540"/>
        <w:jc w:val="both"/>
      </w:pPr>
      <w:r>
        <w:rPr>
          <w:sz w:val="20"/>
        </w:rPr>
        <w:t xml:space="preserve">1) осуществлять проверки по всем направлениям деятельности Фонда, включая деятельность ее филиалов и представительств, а также любого структурного подразделения и (или) работника Фонда;</w:t>
      </w:r>
    </w:p>
    <w:p>
      <w:pPr>
        <w:pStyle w:val="0"/>
        <w:spacing w:before="200" w:line-rule="auto"/>
        <w:ind w:firstLine="540"/>
        <w:jc w:val="both"/>
      </w:pPr>
      <w:r>
        <w:rPr>
          <w:sz w:val="20"/>
        </w:rPr>
        <w:t xml:space="preserve">2) получать от руководителей и работников структурных подразделений Фонда документы, материалы и информацию, необходимые для осуществления своих полномочий.</w:t>
      </w:r>
    </w:p>
    <w:p>
      <w:pPr>
        <w:pStyle w:val="0"/>
        <w:spacing w:before="200" w:line-rule="auto"/>
        <w:ind w:firstLine="540"/>
        <w:jc w:val="both"/>
      </w:pPr>
      <w:r>
        <w:rPr>
          <w:sz w:val="20"/>
        </w:rPr>
        <w:t xml:space="preserve">113. Служба внутреннего аудита обязана:</w:t>
      </w:r>
    </w:p>
    <w:p>
      <w:pPr>
        <w:pStyle w:val="0"/>
        <w:spacing w:before="200" w:line-rule="auto"/>
        <w:ind w:firstLine="540"/>
        <w:jc w:val="both"/>
      </w:pPr>
      <w:r>
        <w:rPr>
          <w:sz w:val="20"/>
        </w:rPr>
        <w:t xml:space="preserve">1) обеспечивать сохранность полученных от структурных подразделений Фонда документов и материалов, а при необходимости обеспечить возврат таких документов и материалов;</w:t>
      </w:r>
    </w:p>
    <w:p>
      <w:pPr>
        <w:pStyle w:val="0"/>
        <w:spacing w:before="200" w:line-rule="auto"/>
        <w:ind w:firstLine="540"/>
        <w:jc w:val="both"/>
      </w:pPr>
      <w:r>
        <w:rPr>
          <w:sz w:val="20"/>
        </w:rPr>
        <w:t xml:space="preserve">2) соблюдать конфиденциальность информации, полученной при осуществлении своих полномочий;</w:t>
      </w:r>
    </w:p>
    <w:p>
      <w:pPr>
        <w:pStyle w:val="0"/>
        <w:spacing w:before="200" w:line-rule="auto"/>
        <w:ind w:firstLine="540"/>
        <w:jc w:val="both"/>
      </w:pPr>
      <w:r>
        <w:rPr>
          <w:sz w:val="20"/>
        </w:rPr>
        <w:t xml:space="preserve">3) информировать обо всех случаях выявления по результатам проверок нарушений и недостатков в деятельности Фонда генерального директора Фонда и правление Фонда, а также руководителя структурного подразделения Фонда, в котором выявлены соответствующие нарушения и недостатки;</w:t>
      </w:r>
    </w:p>
    <w:p>
      <w:pPr>
        <w:pStyle w:val="0"/>
        <w:spacing w:before="200" w:line-rule="auto"/>
        <w:ind w:firstLine="540"/>
        <w:jc w:val="both"/>
      </w:pPr>
      <w:r>
        <w:rPr>
          <w:sz w:val="20"/>
        </w:rPr>
        <w:t xml:space="preserve">4) осуществлять контроль за принятием мер по устранению выявленных нарушений и недостатков в деятельности Фонда и соблюдением рекомендованных службой внутреннего аудита мер по предупреждению аналогичных нарушений и недостатков.</w:t>
      </w:r>
    </w:p>
    <w:p>
      <w:pPr>
        <w:pStyle w:val="0"/>
        <w:spacing w:before="200" w:line-rule="auto"/>
        <w:ind w:firstLine="540"/>
        <w:jc w:val="both"/>
      </w:pPr>
      <w:r>
        <w:rPr>
          <w:sz w:val="20"/>
        </w:rPr>
        <w:t xml:space="preserve">114. По результатам проведенных проверок служба внутреннего аудита составляет квартальные отчеты и годовые отчеты, которые представляются генеральному директору Фонда, в наблюдательный совет Фонда и правление Фонда, а также в комитет по аудиту при наблюдательном совете Фонда. Годовой отчет службы внутреннего аудита направляется председателем наблюдательного совета Фонда в Правительство Российской Федерации.</w:t>
      </w:r>
    </w:p>
    <w:p>
      <w:pPr>
        <w:pStyle w:val="0"/>
        <w:spacing w:before="200" w:line-rule="auto"/>
        <w:ind w:firstLine="540"/>
        <w:jc w:val="both"/>
      </w:pPr>
      <w:r>
        <w:rPr>
          <w:sz w:val="20"/>
        </w:rPr>
        <w:t xml:space="preserve">115. В случае выявления по результатам проверок нарушений в виде принятия генеральным директором Фонда и (или) правлением Фонда решений по вопросам, отнесенным к компетенции наблюдательного совета Фонда, руководитель службы внутреннего аудита уведомляет в письменной форме об этом членов наблюдательного совета Фонда в течение 15 дней со дня выявления таких нарушений.</w:t>
      </w:r>
    </w:p>
    <w:p>
      <w:pPr>
        <w:pStyle w:val="0"/>
        <w:spacing w:before="200" w:line-rule="auto"/>
        <w:ind w:firstLine="540"/>
        <w:jc w:val="both"/>
      </w:pPr>
      <w:r>
        <w:rPr>
          <w:sz w:val="20"/>
        </w:rPr>
        <w:t xml:space="preserve">116. По запросу органов государственного финансового контроля Фонд обязан представлять им отчеты службы внутреннего аудита.</w:t>
      </w:r>
    </w:p>
    <w:p>
      <w:pPr>
        <w:pStyle w:val="0"/>
        <w:jc w:val="both"/>
      </w:pPr>
      <w:r>
        <w:rPr>
          <w:sz w:val="20"/>
        </w:rPr>
      </w:r>
    </w:p>
    <w:p>
      <w:pPr>
        <w:pStyle w:val="2"/>
        <w:outlineLvl w:val="1"/>
        <w:jc w:val="center"/>
      </w:pPr>
      <w:r>
        <w:rPr>
          <w:sz w:val="20"/>
        </w:rPr>
        <w:t xml:space="preserve">XII. Реорганизация и ликвидация Фонда</w:t>
      </w:r>
    </w:p>
    <w:p>
      <w:pPr>
        <w:pStyle w:val="0"/>
        <w:jc w:val="both"/>
      </w:pPr>
      <w:r>
        <w:rPr>
          <w:sz w:val="20"/>
        </w:rPr>
      </w:r>
    </w:p>
    <w:p>
      <w:pPr>
        <w:pStyle w:val="0"/>
        <w:ind w:firstLine="540"/>
        <w:jc w:val="both"/>
      </w:pPr>
      <w:r>
        <w:rPr>
          <w:sz w:val="20"/>
        </w:rPr>
        <w:t xml:space="preserve">117. Реорганизация и ликвидация Фонда осуществляются на основании федерального закона, если иное не предусмотрено </w:t>
      </w:r>
      <w:hyperlink w:history="0" r:id="rId13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статьей 23</w:t>
        </w:r>
      </w:hyperlink>
      <w:r>
        <w:rPr>
          <w:sz w:val="20"/>
        </w:rPr>
        <w:t xml:space="preserve"> Федерального закона "О внесении изменений в Федеральный закон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отдельные законодательные акты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07.10.2017 N 1231</w:t>
            <w:br/>
            <w:t>(ред. от 28.04.2025)</w:t>
            <w:br/>
            <w:t>"О публично-правовой компании "Фонд развития те...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4942&amp;dst=100012" TargetMode = "External"/>
	<Relationship Id="rId8" Type="http://schemas.openxmlformats.org/officeDocument/2006/relationships/hyperlink" Target="https://login.consultant.ru/link/?req=doc&amp;base=LAW&amp;n=386443&amp;dst=100009" TargetMode = "External"/>
	<Relationship Id="rId9" Type="http://schemas.openxmlformats.org/officeDocument/2006/relationships/hyperlink" Target="https://login.consultant.ru/link/?req=doc&amp;base=LAW&amp;n=393749&amp;dst=100005" TargetMode = "External"/>
	<Relationship Id="rId10" Type="http://schemas.openxmlformats.org/officeDocument/2006/relationships/hyperlink" Target="https://login.consultant.ru/link/?req=doc&amp;base=LAW&amp;n=413813&amp;dst=100005" TargetMode = "External"/>
	<Relationship Id="rId11" Type="http://schemas.openxmlformats.org/officeDocument/2006/relationships/hyperlink" Target="https://login.consultant.ru/link/?req=doc&amp;base=LAW&amp;n=426981&amp;dst=100011" TargetMode = "External"/>
	<Relationship Id="rId12" Type="http://schemas.openxmlformats.org/officeDocument/2006/relationships/hyperlink" Target="https://login.consultant.ru/link/?req=doc&amp;base=LAW&amp;n=446141&amp;dst=100059" TargetMode = "External"/>
	<Relationship Id="rId13" Type="http://schemas.openxmlformats.org/officeDocument/2006/relationships/hyperlink" Target="https://login.consultant.ru/link/?req=doc&amp;base=LAW&amp;n=471826&amp;dst=100007" TargetMode = "External"/>
	<Relationship Id="rId14" Type="http://schemas.openxmlformats.org/officeDocument/2006/relationships/hyperlink" Target="https://login.consultant.ru/link/?req=doc&amp;base=LAW&amp;n=477754&amp;dst=100009" TargetMode = "External"/>
	<Relationship Id="rId15" Type="http://schemas.openxmlformats.org/officeDocument/2006/relationships/hyperlink" Target="https://login.consultant.ru/link/?req=doc&amp;base=LAW&amp;n=481500&amp;dst=100005" TargetMode = "External"/>
	<Relationship Id="rId16" Type="http://schemas.openxmlformats.org/officeDocument/2006/relationships/hyperlink" Target="https://login.consultant.ru/link/?req=doc&amp;base=LAW&amp;n=504266&amp;dst=100198" TargetMode = "External"/>
	<Relationship Id="rId17" Type="http://schemas.openxmlformats.org/officeDocument/2006/relationships/hyperlink" Target="https://login.consultant.ru/link/?req=doc&amp;base=LAW&amp;n=413813&amp;dst=100012" TargetMode = "External"/>
	<Relationship Id="rId18" Type="http://schemas.openxmlformats.org/officeDocument/2006/relationships/hyperlink" Target="https://login.consultant.ru/link/?req=doc&amp;base=LAW&amp;n=413813&amp;dst=100014" TargetMode = "External"/>
	<Relationship Id="rId19" Type="http://schemas.openxmlformats.org/officeDocument/2006/relationships/hyperlink" Target="https://login.consultant.ru/link/?req=doc&amp;base=LAW&amp;n=413813&amp;dst=100015" TargetMode = "External"/>
	<Relationship Id="rId20" Type="http://schemas.openxmlformats.org/officeDocument/2006/relationships/hyperlink" Target="https://login.consultant.ru/link/?req=doc&amp;base=LAW&amp;n=413813&amp;dst=100016" TargetMode = "External"/>
	<Relationship Id="rId21" Type="http://schemas.openxmlformats.org/officeDocument/2006/relationships/hyperlink" Target="https://login.consultant.ru/link/?req=doc&amp;base=LAW&amp;n=502622&amp;dst=100591" TargetMode = "External"/>
	<Relationship Id="rId22" Type="http://schemas.openxmlformats.org/officeDocument/2006/relationships/hyperlink" Target="https://login.consultant.ru/link/?req=doc&amp;base=LAW&amp;n=208436" TargetMode = "External"/>
	<Relationship Id="rId23" Type="http://schemas.openxmlformats.org/officeDocument/2006/relationships/hyperlink" Target="https://login.consultant.ru/link/?req=doc&amp;base=LAW&amp;n=405344&amp;dst=100399" TargetMode = "External"/>
	<Relationship Id="rId24" Type="http://schemas.openxmlformats.org/officeDocument/2006/relationships/hyperlink" Target="https://login.consultant.ru/link/?req=doc&amp;base=LAW&amp;n=413813&amp;dst=100006" TargetMode = "External"/>
	<Relationship Id="rId25" Type="http://schemas.openxmlformats.org/officeDocument/2006/relationships/hyperlink" Target="https://login.consultant.ru/link/?req=doc&amp;base=LAW&amp;n=413813&amp;dst=100017" TargetMode = "External"/>
	<Relationship Id="rId26" Type="http://schemas.openxmlformats.org/officeDocument/2006/relationships/hyperlink" Target="https://login.consultant.ru/link/?req=doc&amp;base=LAW&amp;n=502622&amp;dst=100058" TargetMode = "External"/>
	<Relationship Id="rId27" Type="http://schemas.openxmlformats.org/officeDocument/2006/relationships/hyperlink" Target="https://login.consultant.ru/link/?req=doc&amp;base=LAW&amp;n=482692&amp;dst=1208" TargetMode = "External"/>
	<Relationship Id="rId28" Type="http://schemas.openxmlformats.org/officeDocument/2006/relationships/hyperlink" Target="https://login.consultant.ru/link/?req=doc&amp;base=LAW&amp;n=482692&amp;dst=381" TargetMode = "External"/>
	<Relationship Id="rId29" Type="http://schemas.openxmlformats.org/officeDocument/2006/relationships/hyperlink" Target="https://login.consultant.ru/link/?req=doc&amp;base=LAW&amp;n=482692&amp;dst=1208" TargetMode = "External"/>
	<Relationship Id="rId30" Type="http://schemas.openxmlformats.org/officeDocument/2006/relationships/hyperlink" Target="https://login.consultant.ru/link/?req=doc&amp;base=LAW&amp;n=413813&amp;dst=100015" TargetMode = "External"/>
	<Relationship Id="rId31" Type="http://schemas.openxmlformats.org/officeDocument/2006/relationships/hyperlink" Target="https://login.consultant.ru/link/?req=doc&amp;base=LAW&amp;n=405344&amp;dst=100399" TargetMode = "External"/>
	<Relationship Id="rId32" Type="http://schemas.openxmlformats.org/officeDocument/2006/relationships/hyperlink" Target="https://login.consultant.ru/link/?req=doc&amp;base=LAW&amp;n=413813&amp;dst=100006" TargetMode = "External"/>
	<Relationship Id="rId33" Type="http://schemas.openxmlformats.org/officeDocument/2006/relationships/hyperlink" Target="https://login.consultant.ru/link/?req=doc&amp;base=LAW&amp;n=413813&amp;dst=100069" TargetMode = "External"/>
	<Relationship Id="rId34" Type="http://schemas.openxmlformats.org/officeDocument/2006/relationships/hyperlink" Target="https://login.consultant.ru/link/?req=doc&amp;base=LAW&amp;n=426981&amp;dst=100011" TargetMode = "External"/>
	<Relationship Id="rId35" Type="http://schemas.openxmlformats.org/officeDocument/2006/relationships/hyperlink" Target="https://login.consultant.ru/link/?req=doc&amp;base=LAW&amp;n=446141&amp;dst=100059" TargetMode = "External"/>
	<Relationship Id="rId36" Type="http://schemas.openxmlformats.org/officeDocument/2006/relationships/hyperlink" Target="https://login.consultant.ru/link/?req=doc&amp;base=LAW&amp;n=471826&amp;dst=100007" TargetMode = "External"/>
	<Relationship Id="rId37" Type="http://schemas.openxmlformats.org/officeDocument/2006/relationships/hyperlink" Target="https://login.consultant.ru/link/?req=doc&amp;base=LAW&amp;n=477754&amp;dst=100009" TargetMode = "External"/>
	<Relationship Id="rId38" Type="http://schemas.openxmlformats.org/officeDocument/2006/relationships/hyperlink" Target="https://login.consultant.ru/link/?req=doc&amp;base=LAW&amp;n=481500&amp;dst=100005" TargetMode = "External"/>
	<Relationship Id="rId39" Type="http://schemas.openxmlformats.org/officeDocument/2006/relationships/hyperlink" Target="https://login.consultant.ru/link/?req=doc&amp;base=LAW&amp;n=504266&amp;dst=100198" TargetMode = "External"/>
	<Relationship Id="rId40" Type="http://schemas.openxmlformats.org/officeDocument/2006/relationships/hyperlink" Target="https://login.consultant.ru/link/?req=doc&amp;base=LAW&amp;n=502622&amp;dst=100013" TargetMode = "External"/>
	<Relationship Id="rId41" Type="http://schemas.openxmlformats.org/officeDocument/2006/relationships/hyperlink" Target="https://login.consultant.ru/link/?req=doc&amp;base=LAW&amp;n=502622" TargetMode = "External"/>
	<Relationship Id="rId42" Type="http://schemas.openxmlformats.org/officeDocument/2006/relationships/hyperlink" Target="https://login.consultant.ru/link/?req=doc&amp;base=LAW&amp;n=502622" TargetMode = "External"/>
	<Relationship Id="rId43" Type="http://schemas.openxmlformats.org/officeDocument/2006/relationships/hyperlink" Target="https://login.consultant.ru/link/?req=doc&amp;base=LAW&amp;n=502622" TargetMode = "External"/>
	<Relationship Id="rId44" Type="http://schemas.openxmlformats.org/officeDocument/2006/relationships/hyperlink" Target="https://login.consultant.ru/link/?req=doc&amp;base=LAW&amp;n=481500&amp;dst=100009" TargetMode = "External"/>
	<Relationship Id="rId45" Type="http://schemas.openxmlformats.org/officeDocument/2006/relationships/hyperlink" Target="https://login.consultant.ru/link/?req=doc&amp;base=LAW&amp;n=502622" TargetMode = "External"/>
	<Relationship Id="rId46" Type="http://schemas.openxmlformats.org/officeDocument/2006/relationships/hyperlink" Target="https://login.consultant.ru/link/?req=doc&amp;base=LAW&amp;n=481500&amp;dst=100011" TargetMode = "External"/>
	<Relationship Id="rId47" Type="http://schemas.openxmlformats.org/officeDocument/2006/relationships/hyperlink" Target="https://login.consultant.ru/link/?req=doc&amp;base=LAW&amp;n=502622&amp;dst=100702" TargetMode = "External"/>
	<Relationship Id="rId48" Type="http://schemas.openxmlformats.org/officeDocument/2006/relationships/hyperlink" Target="https://login.consultant.ru/link/?req=doc&amp;base=LAW&amp;n=499776&amp;dst=7384" TargetMode = "External"/>
	<Relationship Id="rId49" Type="http://schemas.openxmlformats.org/officeDocument/2006/relationships/hyperlink" Target="https://login.consultant.ru/link/?req=doc&amp;base=LAW&amp;n=502622" TargetMode = "External"/>
	<Relationship Id="rId50" Type="http://schemas.openxmlformats.org/officeDocument/2006/relationships/hyperlink" Target="https://login.consultant.ru/link/?req=doc&amp;base=LAW&amp;n=499776&amp;dst=2202" TargetMode = "External"/>
	<Relationship Id="rId51" Type="http://schemas.openxmlformats.org/officeDocument/2006/relationships/hyperlink" Target="https://login.consultant.ru/link/?req=doc&amp;base=LAW&amp;n=499776" TargetMode = "External"/>
	<Relationship Id="rId52" Type="http://schemas.openxmlformats.org/officeDocument/2006/relationships/hyperlink" Target="https://login.consultant.ru/link/?req=doc&amp;base=LAW&amp;n=502622&amp;dst=100858" TargetMode = "External"/>
	<Relationship Id="rId53" Type="http://schemas.openxmlformats.org/officeDocument/2006/relationships/hyperlink" Target="https://login.consultant.ru/link/?req=doc&amp;base=LAW&amp;n=499776&amp;dst=7442" TargetMode = "External"/>
	<Relationship Id="rId54" Type="http://schemas.openxmlformats.org/officeDocument/2006/relationships/hyperlink" Target="https://login.consultant.ru/link/?req=doc&amp;base=LAW&amp;n=502622&amp;dst=100981" TargetMode = "External"/>
	<Relationship Id="rId55" Type="http://schemas.openxmlformats.org/officeDocument/2006/relationships/hyperlink" Target="https://login.consultant.ru/link/?req=doc&amp;base=LAW&amp;n=494633&amp;dst=100881" TargetMode = "External"/>
	<Relationship Id="rId56" Type="http://schemas.openxmlformats.org/officeDocument/2006/relationships/hyperlink" Target="https://login.consultant.ru/link/?req=doc&amp;base=LAW&amp;n=499776&amp;dst=7442" TargetMode = "External"/>
	<Relationship Id="rId57" Type="http://schemas.openxmlformats.org/officeDocument/2006/relationships/hyperlink" Target="https://login.consultant.ru/link/?req=doc&amp;base=LAW&amp;n=372705&amp;dst=100024" TargetMode = "External"/>
	<Relationship Id="rId58" Type="http://schemas.openxmlformats.org/officeDocument/2006/relationships/hyperlink" Target="https://login.consultant.ru/link/?req=doc&amp;base=LAW&amp;n=372705&amp;dst=100026" TargetMode = "External"/>
	<Relationship Id="rId59" Type="http://schemas.openxmlformats.org/officeDocument/2006/relationships/hyperlink" Target="https://login.consultant.ru/link/?req=doc&amp;base=LAW&amp;n=502622" TargetMode = "External"/>
	<Relationship Id="rId60" Type="http://schemas.openxmlformats.org/officeDocument/2006/relationships/hyperlink" Target="https://login.consultant.ru/link/?req=doc&amp;base=LAW&amp;n=465583" TargetMode = "External"/>
	<Relationship Id="rId61" Type="http://schemas.openxmlformats.org/officeDocument/2006/relationships/hyperlink" Target="https://login.consultant.ru/link/?req=doc&amp;base=LAW&amp;n=465583&amp;dst=100916" TargetMode = "External"/>
	<Relationship Id="rId62" Type="http://schemas.openxmlformats.org/officeDocument/2006/relationships/hyperlink" Target="https://login.consultant.ru/link/?req=doc&amp;base=LAW&amp;n=502622&amp;dst=101166" TargetMode = "External"/>
	<Relationship Id="rId63" Type="http://schemas.openxmlformats.org/officeDocument/2006/relationships/hyperlink" Target="https://login.consultant.ru/link/?req=doc&amp;base=LAW&amp;n=477754&amp;dst=100010" TargetMode = "External"/>
	<Relationship Id="rId64" Type="http://schemas.openxmlformats.org/officeDocument/2006/relationships/hyperlink" Target="https://login.consultant.ru/link/?req=doc&amp;base=LAW&amp;n=477754&amp;dst=100011" TargetMode = "External"/>
	<Relationship Id="rId65" Type="http://schemas.openxmlformats.org/officeDocument/2006/relationships/hyperlink" Target="https://login.consultant.ru/link/?req=doc&amp;base=LAW&amp;n=504266&amp;dst=100198" TargetMode = "External"/>
	<Relationship Id="rId66" Type="http://schemas.openxmlformats.org/officeDocument/2006/relationships/hyperlink" Target="https://login.consultant.ru/link/?req=doc&amp;base=LAW&amp;n=502622" TargetMode = "External"/>
	<Relationship Id="rId67" Type="http://schemas.openxmlformats.org/officeDocument/2006/relationships/hyperlink" Target="https://login.consultant.ru/link/?req=doc&amp;base=LAW&amp;n=479343" TargetMode = "External"/>
	<Relationship Id="rId68" Type="http://schemas.openxmlformats.org/officeDocument/2006/relationships/hyperlink" Target="https://login.consultant.ru/link/?req=doc&amp;base=LAW&amp;n=481500&amp;dst=100013" TargetMode = "External"/>
	<Relationship Id="rId69" Type="http://schemas.openxmlformats.org/officeDocument/2006/relationships/hyperlink" Target="https://login.consultant.ru/link/?req=doc&amp;base=LAW&amp;n=502622" TargetMode = "External"/>
	<Relationship Id="rId70" Type="http://schemas.openxmlformats.org/officeDocument/2006/relationships/hyperlink" Target="https://login.consultant.ru/link/?req=doc&amp;base=LAW&amp;n=499776&amp;dst=7442" TargetMode = "External"/>
	<Relationship Id="rId71" Type="http://schemas.openxmlformats.org/officeDocument/2006/relationships/hyperlink" Target="https://login.consultant.ru/link/?req=doc&amp;base=LAW&amp;n=502622" TargetMode = "External"/>
	<Relationship Id="rId72" Type="http://schemas.openxmlformats.org/officeDocument/2006/relationships/hyperlink" Target="https://login.consultant.ru/link/?req=doc&amp;base=LAW&amp;n=446141&amp;dst=100060" TargetMode = "External"/>
	<Relationship Id="rId73" Type="http://schemas.openxmlformats.org/officeDocument/2006/relationships/hyperlink" Target="https://login.consultant.ru/link/?req=doc&amp;base=LAW&amp;n=446141&amp;dst=100062" TargetMode = "External"/>
	<Relationship Id="rId74" Type="http://schemas.openxmlformats.org/officeDocument/2006/relationships/hyperlink" Target="https://login.consultant.ru/link/?req=doc&amp;base=LAW&amp;n=502622&amp;dst=101099" TargetMode = "External"/>
	<Relationship Id="rId75" Type="http://schemas.openxmlformats.org/officeDocument/2006/relationships/hyperlink" Target="https://login.consultant.ru/link/?req=doc&amp;base=LAW&amp;n=502622&amp;dst=101007" TargetMode = "External"/>
	<Relationship Id="rId76" Type="http://schemas.openxmlformats.org/officeDocument/2006/relationships/hyperlink" Target="https://login.consultant.ru/link/?req=doc&amp;base=LAW&amp;n=502622&amp;dst=100846" TargetMode = "External"/>
	<Relationship Id="rId77" Type="http://schemas.openxmlformats.org/officeDocument/2006/relationships/hyperlink" Target="https://login.consultant.ru/link/?req=doc&amp;base=LAW&amp;n=446141&amp;dst=100063" TargetMode = "External"/>
	<Relationship Id="rId78" Type="http://schemas.openxmlformats.org/officeDocument/2006/relationships/hyperlink" Target="https://login.consultant.ru/link/?req=doc&amp;base=LAW&amp;n=502622&amp;dst=101040" TargetMode = "External"/>
	<Relationship Id="rId79" Type="http://schemas.openxmlformats.org/officeDocument/2006/relationships/hyperlink" Target="https://login.consultant.ru/link/?req=doc&amp;base=LAW&amp;n=499776&amp;dst=7400" TargetMode = "External"/>
	<Relationship Id="rId80" Type="http://schemas.openxmlformats.org/officeDocument/2006/relationships/hyperlink" Target="https://login.consultant.ru/link/?req=doc&amp;base=LAW&amp;n=499776&amp;dst=7442" TargetMode = "External"/>
	<Relationship Id="rId81" Type="http://schemas.openxmlformats.org/officeDocument/2006/relationships/hyperlink" Target="https://login.consultant.ru/link/?req=doc&amp;base=LAW&amp;n=499776&amp;dst=7442" TargetMode = "External"/>
	<Relationship Id="rId82" Type="http://schemas.openxmlformats.org/officeDocument/2006/relationships/hyperlink" Target="https://login.consultant.ru/link/?req=doc&amp;base=LAW&amp;n=502622&amp;dst=101024" TargetMode = "External"/>
	<Relationship Id="rId83" Type="http://schemas.openxmlformats.org/officeDocument/2006/relationships/hyperlink" Target="https://login.consultant.ru/link/?req=doc&amp;base=LAW&amp;n=502622&amp;dst=100981" TargetMode = "External"/>
	<Relationship Id="rId84" Type="http://schemas.openxmlformats.org/officeDocument/2006/relationships/hyperlink" Target="https://login.consultant.ru/link/?req=doc&amp;base=LAW&amp;n=502622&amp;dst=101039" TargetMode = "External"/>
	<Relationship Id="rId85" Type="http://schemas.openxmlformats.org/officeDocument/2006/relationships/hyperlink" Target="https://login.consultant.ru/link/?req=doc&amp;base=LAW&amp;n=502622&amp;dst=100991" TargetMode = "External"/>
	<Relationship Id="rId86" Type="http://schemas.openxmlformats.org/officeDocument/2006/relationships/hyperlink" Target="https://login.consultant.ru/link/?req=doc&amp;base=LAW&amp;n=494633&amp;dst=100917" TargetMode = "External"/>
	<Relationship Id="rId87" Type="http://schemas.openxmlformats.org/officeDocument/2006/relationships/hyperlink" Target="https://login.consultant.ru/link/?req=doc&amp;base=LAW&amp;n=465583&amp;dst=100916" TargetMode = "External"/>
	<Relationship Id="rId88" Type="http://schemas.openxmlformats.org/officeDocument/2006/relationships/hyperlink" Target="https://login.consultant.ru/link/?req=doc&amp;base=LAW&amp;n=482692&amp;dst=1208" TargetMode = "External"/>
	<Relationship Id="rId89" Type="http://schemas.openxmlformats.org/officeDocument/2006/relationships/hyperlink" Target="https://login.consultant.ru/link/?req=doc&amp;base=LAW&amp;n=482692&amp;dst=381" TargetMode = "External"/>
	<Relationship Id="rId90" Type="http://schemas.openxmlformats.org/officeDocument/2006/relationships/hyperlink" Target="https://login.consultant.ru/link/?req=doc&amp;base=LAW&amp;n=481500&amp;dst=100019" TargetMode = "External"/>
	<Relationship Id="rId91" Type="http://schemas.openxmlformats.org/officeDocument/2006/relationships/hyperlink" Target="https://login.consultant.ru/link/?req=doc&amp;base=LAW&amp;n=499776&amp;dst=102207" TargetMode = "External"/>
	<Relationship Id="rId92" Type="http://schemas.openxmlformats.org/officeDocument/2006/relationships/hyperlink" Target="https://login.consultant.ru/link/?req=doc&amp;base=LAW&amp;n=499776&amp;dst=7399" TargetMode = "External"/>
	<Relationship Id="rId93" Type="http://schemas.openxmlformats.org/officeDocument/2006/relationships/hyperlink" Target="https://login.consultant.ru/link/?req=doc&amp;base=LAW&amp;n=502622&amp;dst=100737" TargetMode = "External"/>
	<Relationship Id="rId94" Type="http://schemas.openxmlformats.org/officeDocument/2006/relationships/hyperlink" Target="https://login.consultant.ru/link/?req=doc&amp;base=LAW&amp;n=502622&amp;dst=100914" TargetMode = "External"/>
	<Relationship Id="rId95" Type="http://schemas.openxmlformats.org/officeDocument/2006/relationships/hyperlink" Target="https://login.consultant.ru/link/?req=doc&amp;base=LAW&amp;n=499776&amp;dst=7442" TargetMode = "External"/>
	<Relationship Id="rId96" Type="http://schemas.openxmlformats.org/officeDocument/2006/relationships/hyperlink" Target="https://login.consultant.ru/link/?req=doc&amp;base=LAW&amp;n=502622&amp;dst=88" TargetMode = "External"/>
	<Relationship Id="rId97" Type="http://schemas.openxmlformats.org/officeDocument/2006/relationships/hyperlink" Target="https://login.consultant.ru/link/?req=doc&amp;base=LAW&amp;n=372705&amp;dst=100024" TargetMode = "External"/>
	<Relationship Id="rId98" Type="http://schemas.openxmlformats.org/officeDocument/2006/relationships/hyperlink" Target="https://login.consultant.ru/link/?req=doc&amp;base=LAW&amp;n=372705&amp;dst=100026" TargetMode = "External"/>
	<Relationship Id="rId99" Type="http://schemas.openxmlformats.org/officeDocument/2006/relationships/hyperlink" Target="https://login.consultant.ru/link/?req=doc&amp;base=LAW&amp;n=446141&amp;dst=100065" TargetMode = "External"/>
	<Relationship Id="rId100" Type="http://schemas.openxmlformats.org/officeDocument/2006/relationships/hyperlink" Target="https://login.consultant.ru/link/?req=doc&amp;base=LAW&amp;n=499776&amp;dst=7442" TargetMode = "External"/>
	<Relationship Id="rId101" Type="http://schemas.openxmlformats.org/officeDocument/2006/relationships/hyperlink" Target="https://login.consultant.ru/link/?req=doc&amp;base=LAW&amp;n=502622&amp;dst=88" TargetMode = "External"/>
	<Relationship Id="rId102" Type="http://schemas.openxmlformats.org/officeDocument/2006/relationships/hyperlink" Target="https://login.consultant.ru/link/?req=doc&amp;base=LAW&amp;n=502622&amp;dst=100981" TargetMode = "External"/>
	<Relationship Id="rId103" Type="http://schemas.openxmlformats.org/officeDocument/2006/relationships/hyperlink" Target="https://login.consultant.ru/link/?req=doc&amp;base=LAW&amp;n=446141&amp;dst=100065" TargetMode = "External"/>
	<Relationship Id="rId104" Type="http://schemas.openxmlformats.org/officeDocument/2006/relationships/hyperlink" Target="https://login.consultant.ru/link/?req=doc&amp;base=LAW&amp;n=465583" TargetMode = "External"/>
	<Relationship Id="rId105" Type="http://schemas.openxmlformats.org/officeDocument/2006/relationships/hyperlink" Target="https://login.consultant.ru/link/?req=doc&amp;base=LAW&amp;n=465583" TargetMode = "External"/>
	<Relationship Id="rId106" Type="http://schemas.openxmlformats.org/officeDocument/2006/relationships/hyperlink" Target="https://login.consultant.ru/link/?req=doc&amp;base=LAW&amp;n=465583" TargetMode = "External"/>
	<Relationship Id="rId107" Type="http://schemas.openxmlformats.org/officeDocument/2006/relationships/hyperlink" Target="https://login.consultant.ru/link/?req=doc&amp;base=LAW&amp;n=465583&amp;dst=100916" TargetMode = "External"/>
	<Relationship Id="rId108" Type="http://schemas.openxmlformats.org/officeDocument/2006/relationships/hyperlink" Target="https://login.consultant.ru/link/?req=doc&amp;base=LAW&amp;n=465583&amp;dst=100773" TargetMode = "External"/>
	<Relationship Id="rId109" Type="http://schemas.openxmlformats.org/officeDocument/2006/relationships/hyperlink" Target="https://login.consultant.ru/link/?req=doc&amp;base=LAW&amp;n=465583&amp;dst=100882" TargetMode = "External"/>
	<Relationship Id="rId110" Type="http://schemas.openxmlformats.org/officeDocument/2006/relationships/hyperlink" Target="https://login.consultant.ru/link/?req=doc&amp;base=LAW&amp;n=481500&amp;dst=100020" TargetMode = "External"/>
	<Relationship Id="rId111" Type="http://schemas.openxmlformats.org/officeDocument/2006/relationships/hyperlink" Target="https://login.consultant.ru/link/?req=doc&amp;base=LAW&amp;n=481500&amp;dst=100021" TargetMode = "External"/>
	<Relationship Id="rId112" Type="http://schemas.openxmlformats.org/officeDocument/2006/relationships/hyperlink" Target="https://login.consultant.ru/link/?req=doc&amp;base=LAW&amp;n=493139&amp;dst=676" TargetMode = "External"/>
	<Relationship Id="rId113" Type="http://schemas.openxmlformats.org/officeDocument/2006/relationships/hyperlink" Target="https://login.consultant.ru/link/?req=doc&amp;base=LAW&amp;n=426981&amp;dst=100011" TargetMode = "External"/>
	<Relationship Id="rId114" Type="http://schemas.openxmlformats.org/officeDocument/2006/relationships/hyperlink" Target="https://login.consultant.ru/link/?req=doc&amp;base=LAW&amp;n=471826&amp;dst=100010" TargetMode = "External"/>
	<Relationship Id="rId115" Type="http://schemas.openxmlformats.org/officeDocument/2006/relationships/hyperlink" Target="https://login.consultant.ru/link/?req=doc&amp;base=LAW&amp;n=471826&amp;dst=100075" TargetMode = "External"/>
	<Relationship Id="rId116" Type="http://schemas.openxmlformats.org/officeDocument/2006/relationships/hyperlink" Target="https://login.consultant.ru/link/?req=doc&amp;base=LAW&amp;n=481500&amp;dst=100022" TargetMode = "External"/>
	<Relationship Id="rId117" Type="http://schemas.openxmlformats.org/officeDocument/2006/relationships/hyperlink" Target="https://login.consultant.ru/link/?req=doc&amp;base=LAW&amp;n=446141&amp;dst=100066" TargetMode = "External"/>
	<Relationship Id="rId118" Type="http://schemas.openxmlformats.org/officeDocument/2006/relationships/hyperlink" Target="https://login.consultant.ru/link/?req=doc&amp;base=LAW&amp;n=481500&amp;dst=100023" TargetMode = "External"/>
	<Relationship Id="rId119" Type="http://schemas.openxmlformats.org/officeDocument/2006/relationships/hyperlink" Target="https://login.consultant.ru/link/?req=doc&amp;base=LAW&amp;n=502622&amp;dst=101058" TargetMode = "External"/>
	<Relationship Id="rId120" Type="http://schemas.openxmlformats.org/officeDocument/2006/relationships/hyperlink" Target="https://login.consultant.ru/link/?req=doc&amp;base=LAW&amp;n=446141&amp;dst=100067" TargetMode = "External"/>
	<Relationship Id="rId121" Type="http://schemas.openxmlformats.org/officeDocument/2006/relationships/hyperlink" Target="https://login.consultant.ru/link/?req=doc&amp;base=LAW&amp;n=502622&amp;dst=101031" TargetMode = "External"/>
	<Relationship Id="rId122" Type="http://schemas.openxmlformats.org/officeDocument/2006/relationships/hyperlink" Target="https://login.consultant.ru/link/?req=doc&amp;base=LAW&amp;n=502622" TargetMode = "External"/>
	<Relationship Id="rId123" Type="http://schemas.openxmlformats.org/officeDocument/2006/relationships/hyperlink" Target="https://login.consultant.ru/link/?req=doc&amp;base=LAW&amp;n=471826&amp;dst=100077" TargetMode = "External"/>
	<Relationship Id="rId124" Type="http://schemas.openxmlformats.org/officeDocument/2006/relationships/hyperlink" Target="https://login.consultant.ru/link/?req=doc&amp;base=LAW&amp;n=481500&amp;dst=100025" TargetMode = "External"/>
	<Relationship Id="rId125" Type="http://schemas.openxmlformats.org/officeDocument/2006/relationships/hyperlink" Target="https://login.consultant.ru/link/?req=doc&amp;base=LAW&amp;n=481500&amp;dst=100026" TargetMode = "External"/>
	<Relationship Id="rId126" Type="http://schemas.openxmlformats.org/officeDocument/2006/relationships/hyperlink" Target="https://login.consultant.ru/link/?req=doc&amp;base=LAW&amp;n=93980&amp;dst=100003" TargetMode = "External"/>
	<Relationship Id="rId127" Type="http://schemas.openxmlformats.org/officeDocument/2006/relationships/hyperlink" Target="https://login.consultant.ru/link/?req=doc&amp;base=LAW&amp;n=446141&amp;dst=100069" TargetMode = "External"/>
	<Relationship Id="rId128" Type="http://schemas.openxmlformats.org/officeDocument/2006/relationships/hyperlink" Target="https://login.consultant.ru/link/?req=doc&amp;base=LAW&amp;n=481386" TargetMode = "External"/>
	<Relationship Id="rId129" Type="http://schemas.openxmlformats.org/officeDocument/2006/relationships/hyperlink" Target="https://login.consultant.ru/link/?req=doc&amp;base=LAW&amp;n=405760" TargetMode = "External"/>
	<Relationship Id="rId130" Type="http://schemas.openxmlformats.org/officeDocument/2006/relationships/hyperlink" Target="https://login.consultant.ru/link/?req=doc&amp;base=LAW&amp;n=502622" TargetMode = "External"/>
	<Relationship Id="rId131" Type="http://schemas.openxmlformats.org/officeDocument/2006/relationships/hyperlink" Target="https://login.consultant.ru/link/?req=doc&amp;base=LAW&amp;n=502622" TargetMode = "External"/>
	<Relationship Id="rId132" Type="http://schemas.openxmlformats.org/officeDocument/2006/relationships/hyperlink" Target="https://login.consultant.ru/link/?req=doc&amp;base=LAW&amp;n=405344&amp;dst=1003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07.10.2017 N 1231
(ред. от 28.04.2025)
"О публично-правовой компании "Фонд развития территорий"
(вместе с "Положением о наблюдательном совете публично-правовой компании "Фонд развития территорий", "Уставом публично-правовой компании "Фонд развития территорий")</dc:title>
  <dcterms:created xsi:type="dcterms:W3CDTF">2025-06-11T08:29:12Z</dcterms:created>
</cp:coreProperties>
</file>