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46" w:rsidRDefault="001C304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C3046" w:rsidRDefault="001C3046">
      <w:pPr>
        <w:pStyle w:val="ConsPlusTitle"/>
        <w:jc w:val="both"/>
      </w:pPr>
    </w:p>
    <w:p w:rsidR="001C3046" w:rsidRDefault="001C3046">
      <w:pPr>
        <w:pStyle w:val="ConsPlusTitle"/>
        <w:jc w:val="center"/>
      </w:pPr>
      <w:r>
        <w:t>ПОСТАНОВЛЕНИЕ</w:t>
      </w:r>
    </w:p>
    <w:p w:rsidR="001C3046" w:rsidRDefault="001C3046">
      <w:pPr>
        <w:pStyle w:val="ConsPlusTitle"/>
        <w:jc w:val="center"/>
      </w:pPr>
      <w:bookmarkStart w:id="0" w:name="_GoBack"/>
      <w:r>
        <w:t>от 18 июня 2018 г. N 697</w:t>
      </w:r>
    </w:p>
    <w:bookmarkEnd w:id="0"/>
    <w:p w:rsidR="001C3046" w:rsidRDefault="001C3046">
      <w:pPr>
        <w:pStyle w:val="ConsPlusTitle"/>
        <w:jc w:val="both"/>
      </w:pPr>
    </w:p>
    <w:p w:rsidR="001C3046" w:rsidRDefault="001C3046">
      <w:pPr>
        <w:pStyle w:val="ConsPlusTitle"/>
        <w:jc w:val="center"/>
      </w:pPr>
      <w:r>
        <w:t>ОБ УТВЕРЖДЕНИИ КРИТЕРИЕВ (ТРЕБОВАНИЙ),</w:t>
      </w:r>
    </w:p>
    <w:p w:rsidR="001C3046" w:rsidRDefault="001C3046">
      <w:pPr>
        <w:pStyle w:val="ConsPlusTitle"/>
        <w:jc w:val="center"/>
      </w:pPr>
      <w:proofErr w:type="gramStart"/>
      <w:r>
        <w:t>КОТОРЫМ В СООТВЕТСТВИИ С ФЕДЕРАЛЬНЫМ ЗАКОНОМ</w:t>
      </w:r>
      <w:proofErr w:type="gramEnd"/>
    </w:p>
    <w:p w:rsidR="001C3046" w:rsidRDefault="001C3046">
      <w:pPr>
        <w:pStyle w:val="ConsPlusTitle"/>
        <w:jc w:val="center"/>
      </w:pPr>
      <w:r>
        <w:t xml:space="preserve">"ОБ УЧАСТИИ В ДОЛЕВОМ СТРОИТЕЛЬСТВЕ </w:t>
      </w:r>
      <w:proofErr w:type="gramStart"/>
      <w:r>
        <w:t>МНОГОКВАРТИРНЫХ</w:t>
      </w:r>
      <w:proofErr w:type="gramEnd"/>
    </w:p>
    <w:p w:rsidR="001C3046" w:rsidRDefault="001C3046">
      <w:pPr>
        <w:pStyle w:val="ConsPlusTitle"/>
        <w:jc w:val="center"/>
      </w:pPr>
      <w:r>
        <w:t>ДОМОВ И ИНЫХ ОБЪЕКТОВ НЕДВИЖИМОСТИ И О ВНЕСЕНИИ ИЗМЕНЕНИЙ</w:t>
      </w:r>
    </w:p>
    <w:p w:rsidR="001C3046" w:rsidRDefault="001C3046">
      <w:pPr>
        <w:pStyle w:val="ConsPlusTitle"/>
        <w:jc w:val="center"/>
      </w:pPr>
      <w:r>
        <w:t>В НЕКОТОРЫЕ ЗАКОНОДАТЕЛЬНЫЕ АКТЫ РОССИЙСКОЙ ФЕДЕРАЦИИ"</w:t>
      </w:r>
    </w:p>
    <w:p w:rsidR="001C3046" w:rsidRDefault="001C3046">
      <w:pPr>
        <w:pStyle w:val="ConsPlusTitle"/>
        <w:jc w:val="center"/>
      </w:pPr>
      <w:r>
        <w:t>ДОЛЖНЫ СООТВЕТСТВОВАТЬ УПОЛНОМОЧЕННЫЕ БАНКИ И БАНКИ,</w:t>
      </w:r>
    </w:p>
    <w:p w:rsidR="001C3046" w:rsidRDefault="001C3046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ИМЕЮТ ПРАВО НА ОТКРЫТИЕ СЧЕТОВ ЭСКРОУ</w:t>
      </w:r>
    </w:p>
    <w:p w:rsidR="001C3046" w:rsidRDefault="001C3046">
      <w:pPr>
        <w:pStyle w:val="ConsPlusTitle"/>
        <w:jc w:val="center"/>
      </w:pPr>
      <w:r>
        <w:t>ДЛЯ РАСЧЕТОВ ПО ДОГОВОРАМ УЧАСТИЯ В ДОЛЕВОМ СТРОИТЕЛЬСТВЕ</w:t>
      </w:r>
    </w:p>
    <w:p w:rsidR="001C3046" w:rsidRDefault="001C30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1C30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046" w:rsidRDefault="001C30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046" w:rsidRDefault="001C30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3046" w:rsidRDefault="001C30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3046" w:rsidRDefault="001C304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30.12.2018 </w:t>
            </w:r>
            <w:hyperlink r:id="rId7">
              <w:r>
                <w:rPr>
                  <w:color w:val="0000FF"/>
                </w:rPr>
                <w:t>N 1758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C3046" w:rsidRDefault="001C30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16.05.2019 </w:t>
            </w:r>
            <w:hyperlink r:id="rId8">
              <w:r>
                <w:rPr>
                  <w:color w:val="0000FF"/>
                </w:rPr>
                <w:t>N 606</w:t>
              </w:r>
            </w:hyperlink>
            <w:r>
              <w:rPr>
                <w:color w:val="392C69"/>
              </w:rPr>
              <w:t xml:space="preserve">, от 24.03.2022 </w:t>
            </w:r>
            <w:hyperlink r:id="rId9">
              <w:r>
                <w:rPr>
                  <w:color w:val="0000FF"/>
                </w:rPr>
                <w:t>N 446</w:t>
              </w:r>
            </w:hyperlink>
            <w:r>
              <w:rPr>
                <w:color w:val="392C69"/>
              </w:rPr>
              <w:t xml:space="preserve">, от 15.05.2023 </w:t>
            </w:r>
            <w:hyperlink r:id="rId10">
              <w:r>
                <w:rPr>
                  <w:color w:val="0000FF"/>
                </w:rPr>
                <w:t>N 751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046" w:rsidRDefault="001C3046">
            <w:pPr>
              <w:pStyle w:val="ConsPlusNormal"/>
            </w:pPr>
          </w:p>
        </w:tc>
      </w:tr>
    </w:tbl>
    <w:p w:rsidR="001C3046" w:rsidRDefault="001C3046">
      <w:pPr>
        <w:pStyle w:val="ConsPlusNormal"/>
        <w:jc w:val="both"/>
      </w:pPr>
    </w:p>
    <w:p w:rsidR="001C3046" w:rsidRDefault="001C3046">
      <w:pPr>
        <w:pStyle w:val="ConsPlusNormal"/>
        <w:ind w:firstLine="540"/>
        <w:jc w:val="both"/>
      </w:pPr>
      <w:r>
        <w:t>На основании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Правительство Российской Федерации постановляет:</w:t>
      </w:r>
    </w:p>
    <w:p w:rsidR="001C3046" w:rsidRDefault="001C3046" w:rsidP="001C304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35">
        <w:r>
          <w:rPr>
            <w:color w:val="0000FF"/>
          </w:rPr>
          <w:t>критерии</w:t>
        </w:r>
      </w:hyperlink>
      <w:r>
        <w:t xml:space="preserve"> (требования), которым в соответствии с Федеральным законом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должны соответствовать уполномоченные банки и банки, которые имеют право на открытие счетов эскроу для расчетов по договорам участия в долевом строительстве.</w:t>
      </w:r>
      <w:proofErr w:type="gramEnd"/>
    </w:p>
    <w:p w:rsidR="001C3046" w:rsidRDefault="001C3046" w:rsidP="001C3046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апреля 2017 г. N 498 "О требованиях к банкам, которые имеют право на открытие счетов эскроу для расчетов по договорам участия в долевом строительстве" (Собрание законодательства Российской Федерации, 2017, N 19, ст. 2836).</w:t>
      </w:r>
    </w:p>
    <w:p w:rsidR="001C3046" w:rsidRDefault="001C3046" w:rsidP="001C3046">
      <w:pPr>
        <w:pStyle w:val="ConsPlusNormal"/>
        <w:jc w:val="both"/>
      </w:pPr>
    </w:p>
    <w:p w:rsidR="001C3046" w:rsidRDefault="001C3046" w:rsidP="001C3046">
      <w:pPr>
        <w:pStyle w:val="ConsPlusNormal"/>
        <w:jc w:val="right"/>
      </w:pPr>
      <w:r>
        <w:t>Председатель Правительства</w:t>
      </w:r>
    </w:p>
    <w:p w:rsidR="001C3046" w:rsidRDefault="001C3046" w:rsidP="001C3046">
      <w:pPr>
        <w:pStyle w:val="ConsPlusNormal"/>
        <w:jc w:val="right"/>
      </w:pPr>
      <w:r>
        <w:t>Российской Федерации</w:t>
      </w:r>
    </w:p>
    <w:p w:rsidR="001C3046" w:rsidRDefault="001C3046" w:rsidP="001C3046">
      <w:pPr>
        <w:pStyle w:val="ConsPlusNormal"/>
        <w:jc w:val="right"/>
      </w:pPr>
      <w:r>
        <w:t>Д.МЕДВЕДЕВ</w:t>
      </w:r>
    </w:p>
    <w:p w:rsidR="001C3046" w:rsidRDefault="001C3046" w:rsidP="001C3046">
      <w:pPr>
        <w:pStyle w:val="ConsPlusNormal"/>
        <w:jc w:val="both"/>
      </w:pPr>
    </w:p>
    <w:p w:rsidR="001C3046" w:rsidRDefault="001C3046" w:rsidP="001C3046">
      <w:pPr>
        <w:pStyle w:val="ConsPlusNormal"/>
        <w:jc w:val="both"/>
      </w:pPr>
    </w:p>
    <w:p w:rsidR="001C3046" w:rsidRDefault="001C3046" w:rsidP="001C3046">
      <w:pPr>
        <w:pStyle w:val="ConsPlusNormal"/>
        <w:jc w:val="both"/>
      </w:pPr>
    </w:p>
    <w:p w:rsidR="001C3046" w:rsidRDefault="001C3046" w:rsidP="001C3046">
      <w:pPr>
        <w:pStyle w:val="ConsPlusNormal"/>
        <w:jc w:val="both"/>
      </w:pPr>
    </w:p>
    <w:p w:rsidR="001C3046" w:rsidRDefault="001C3046" w:rsidP="001C3046">
      <w:pPr>
        <w:pStyle w:val="ConsPlusNormal"/>
        <w:jc w:val="both"/>
      </w:pPr>
    </w:p>
    <w:p w:rsidR="001C3046" w:rsidRDefault="001C3046" w:rsidP="001C3046">
      <w:pPr>
        <w:pStyle w:val="ConsPlusNormal"/>
        <w:jc w:val="right"/>
        <w:outlineLvl w:val="0"/>
      </w:pPr>
      <w:r>
        <w:t>Утверждены</w:t>
      </w:r>
    </w:p>
    <w:p w:rsidR="001C3046" w:rsidRDefault="001C3046" w:rsidP="001C3046">
      <w:pPr>
        <w:pStyle w:val="ConsPlusNormal"/>
        <w:jc w:val="right"/>
      </w:pPr>
      <w:r>
        <w:t>постановлением Правительства</w:t>
      </w:r>
    </w:p>
    <w:p w:rsidR="001C3046" w:rsidRDefault="001C3046" w:rsidP="001C3046">
      <w:pPr>
        <w:pStyle w:val="ConsPlusNormal"/>
        <w:jc w:val="right"/>
      </w:pPr>
      <w:r>
        <w:t>Российской Федерации</w:t>
      </w:r>
    </w:p>
    <w:p w:rsidR="001C3046" w:rsidRDefault="001C3046" w:rsidP="001C3046">
      <w:pPr>
        <w:pStyle w:val="ConsPlusNormal"/>
        <w:jc w:val="right"/>
      </w:pPr>
      <w:r>
        <w:t>от 18 июня 2018 г. N 697</w:t>
      </w:r>
    </w:p>
    <w:p w:rsidR="001C3046" w:rsidRDefault="001C3046" w:rsidP="001C3046">
      <w:pPr>
        <w:pStyle w:val="ConsPlusNormal"/>
        <w:jc w:val="both"/>
      </w:pPr>
    </w:p>
    <w:p w:rsidR="001C3046" w:rsidRDefault="001C3046" w:rsidP="001C3046">
      <w:pPr>
        <w:pStyle w:val="ConsPlusTitle"/>
        <w:jc w:val="center"/>
      </w:pPr>
      <w:bookmarkStart w:id="1" w:name="P35"/>
      <w:bookmarkEnd w:id="1"/>
      <w:r>
        <w:t>КРИТЕРИИ (ТРЕБОВАНИЯ),</w:t>
      </w:r>
    </w:p>
    <w:p w:rsidR="001C3046" w:rsidRDefault="001C3046" w:rsidP="001C3046">
      <w:pPr>
        <w:pStyle w:val="ConsPlusTitle"/>
        <w:jc w:val="center"/>
      </w:pPr>
      <w:proofErr w:type="gramStart"/>
      <w:r>
        <w:t>КОТОРЫМ В СООТВЕТСТВИИ С ФЕДЕРАЛЬНЫМ ЗАКОНОМ</w:t>
      </w:r>
      <w:proofErr w:type="gramEnd"/>
    </w:p>
    <w:p w:rsidR="001C3046" w:rsidRDefault="001C3046" w:rsidP="001C3046">
      <w:pPr>
        <w:pStyle w:val="ConsPlusTitle"/>
        <w:jc w:val="center"/>
      </w:pPr>
      <w:r>
        <w:t xml:space="preserve">"ОБ УЧАСТИИ В ДОЛЕВОМ СТРОИТЕЛЬСТВЕ </w:t>
      </w:r>
      <w:proofErr w:type="gramStart"/>
      <w:r>
        <w:t>МНОГОКВАРТИРНЫХ</w:t>
      </w:r>
      <w:proofErr w:type="gramEnd"/>
    </w:p>
    <w:p w:rsidR="001C3046" w:rsidRDefault="001C3046" w:rsidP="001C3046">
      <w:pPr>
        <w:pStyle w:val="ConsPlusTitle"/>
        <w:jc w:val="center"/>
      </w:pPr>
      <w:r>
        <w:t>ДОМОВ И ИНЫХ ОБЪЕКТОВ НЕДВИЖИМОСТИ И О ВНЕСЕНИИ ИЗМЕНЕНИЙ</w:t>
      </w:r>
    </w:p>
    <w:p w:rsidR="001C3046" w:rsidRDefault="001C3046" w:rsidP="001C3046">
      <w:pPr>
        <w:pStyle w:val="ConsPlusTitle"/>
        <w:jc w:val="center"/>
      </w:pPr>
      <w:r>
        <w:t>В НЕКОТОРЫЕ ЗАКОНОДАТЕЛЬНЫЕ АКТЫ РОССИЙСКОЙ ФЕДЕРАЦИИ"</w:t>
      </w:r>
    </w:p>
    <w:p w:rsidR="001C3046" w:rsidRDefault="001C3046" w:rsidP="001C3046">
      <w:pPr>
        <w:pStyle w:val="ConsPlusTitle"/>
        <w:jc w:val="center"/>
      </w:pPr>
      <w:r>
        <w:t>ДОЛЖНЫ СООТВЕТСТВОВАТЬ УПОЛНОМОЧЕННЫЕ БАНКИ И БАНКИ,</w:t>
      </w:r>
    </w:p>
    <w:p w:rsidR="001C3046" w:rsidRDefault="001C3046" w:rsidP="001C3046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ИМЕЮТ ПРАВО НА ОТКРЫТИЕ СЧЕТОВ ЭСКРОУ</w:t>
      </w:r>
    </w:p>
    <w:p w:rsidR="001C3046" w:rsidRDefault="001C3046" w:rsidP="001C3046">
      <w:pPr>
        <w:pStyle w:val="ConsPlusTitle"/>
        <w:jc w:val="center"/>
      </w:pPr>
      <w:r>
        <w:t>ДЛЯ РАСЧЕТОВ ПО ДОГОВОРАМ УЧАСТИЯ В ДОЛЕВОМ СТРОИТЕЛЬСТВЕ</w:t>
      </w:r>
    </w:p>
    <w:p w:rsidR="001C3046" w:rsidRDefault="001C3046" w:rsidP="001C30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1C30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046" w:rsidRDefault="001C3046" w:rsidP="001C30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046" w:rsidRDefault="001C3046" w:rsidP="001C30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3046" w:rsidRDefault="001C3046" w:rsidP="001C30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3046" w:rsidRDefault="001C3046" w:rsidP="001C304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30.12.2018 </w:t>
            </w:r>
            <w:hyperlink r:id="rId12">
              <w:r>
                <w:rPr>
                  <w:color w:val="0000FF"/>
                </w:rPr>
                <w:t>N 1758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C3046" w:rsidRDefault="001C3046" w:rsidP="001C30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16.05.2019 </w:t>
            </w:r>
            <w:hyperlink r:id="rId13">
              <w:r>
                <w:rPr>
                  <w:color w:val="0000FF"/>
                </w:rPr>
                <w:t>N 606</w:t>
              </w:r>
            </w:hyperlink>
            <w:r>
              <w:rPr>
                <w:color w:val="392C69"/>
              </w:rPr>
              <w:t xml:space="preserve">, от 24.03.2022 </w:t>
            </w:r>
            <w:hyperlink r:id="rId14">
              <w:r>
                <w:rPr>
                  <w:color w:val="0000FF"/>
                </w:rPr>
                <w:t>N 446</w:t>
              </w:r>
            </w:hyperlink>
            <w:r>
              <w:rPr>
                <w:color w:val="392C69"/>
              </w:rPr>
              <w:t xml:space="preserve">, от 15.05.2023 </w:t>
            </w:r>
            <w:hyperlink r:id="rId15">
              <w:r>
                <w:rPr>
                  <w:color w:val="0000FF"/>
                </w:rPr>
                <w:t>N 751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046" w:rsidRDefault="001C3046" w:rsidP="001C3046">
            <w:pPr>
              <w:pStyle w:val="ConsPlusNormal"/>
            </w:pPr>
          </w:p>
        </w:tc>
      </w:tr>
    </w:tbl>
    <w:p w:rsidR="001C3046" w:rsidRDefault="001C3046" w:rsidP="001C3046">
      <w:pPr>
        <w:pStyle w:val="ConsPlusNormal"/>
        <w:jc w:val="both"/>
      </w:pPr>
    </w:p>
    <w:p w:rsidR="001C3046" w:rsidRDefault="001C3046" w:rsidP="001C3046">
      <w:pPr>
        <w:pStyle w:val="ConsPlusNormal"/>
        <w:ind w:firstLine="540"/>
        <w:jc w:val="both"/>
      </w:pPr>
      <w:r>
        <w:t>1. Банк является банком с универсальной лицензией.</w:t>
      </w:r>
    </w:p>
    <w:p w:rsidR="001C3046" w:rsidRDefault="001C3046" w:rsidP="001C3046">
      <w:pPr>
        <w:pStyle w:val="ConsPlusNormal"/>
        <w:ind w:firstLine="540"/>
        <w:jc w:val="both"/>
      </w:pPr>
      <w:r>
        <w:t xml:space="preserve">2. Участие банка в системе обязательного страхования вкладов в банках Российской Федерации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 страховании вкладов в банках Российской Федерации".</w:t>
      </w:r>
    </w:p>
    <w:p w:rsidR="001C3046" w:rsidRDefault="001C3046" w:rsidP="001C3046">
      <w:pPr>
        <w:pStyle w:val="ConsPlusNormal"/>
        <w:jc w:val="both"/>
      </w:pPr>
      <w:r>
        <w:t xml:space="preserve">(п. 2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30.12.2018 N 1758)</w:t>
      </w:r>
    </w:p>
    <w:p w:rsidR="001C3046" w:rsidRDefault="001C3046" w:rsidP="001C3046">
      <w:pPr>
        <w:pStyle w:val="ConsPlusNormal"/>
        <w:ind w:firstLine="540"/>
        <w:jc w:val="both"/>
      </w:pPr>
      <w:r>
        <w:t xml:space="preserve">3. Неприменение банком ограничений по осуществлению банковских операций в отношении отдельных отраслей, организаций (предприятий) в связи с применением к Российской Федерации мер </w:t>
      </w:r>
      <w:proofErr w:type="spellStart"/>
      <w:r>
        <w:t>санкционного</w:t>
      </w:r>
      <w:proofErr w:type="spellEnd"/>
      <w:r>
        <w:t xml:space="preserve"> воздействия, а также отсутствие рисков (угроз) применения ими таких ограничений. Банки, не соответствующие указанному критерию (требованию), определяются решением Правительства Российской Федерации, которое направляется в Центральный Банк Российской Федерации.</w:t>
      </w:r>
    </w:p>
    <w:p w:rsidR="001C3046" w:rsidRDefault="001C3046" w:rsidP="001C3046">
      <w:pPr>
        <w:pStyle w:val="ConsPlusNormal"/>
        <w:ind w:firstLine="540"/>
        <w:jc w:val="both"/>
      </w:pPr>
      <w:r>
        <w:t>4. Соответствие банка одному из следующих требований:</w:t>
      </w:r>
    </w:p>
    <w:p w:rsidR="001C3046" w:rsidRDefault="001C3046" w:rsidP="001C3046">
      <w:pPr>
        <w:pStyle w:val="ConsPlusNormal"/>
        <w:ind w:firstLine="540"/>
        <w:jc w:val="both"/>
      </w:pPr>
      <w:r>
        <w:t xml:space="preserve">а) банк является организацией единого института развития в жилищной сфере, определенного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Федерации";</w:t>
      </w:r>
    </w:p>
    <w:p w:rsidR="001C3046" w:rsidRDefault="001C3046" w:rsidP="001C3046">
      <w:pPr>
        <w:pStyle w:val="ConsPlusNormal"/>
        <w:ind w:firstLine="540"/>
        <w:jc w:val="both"/>
      </w:pPr>
      <w:proofErr w:type="gramStart"/>
      <w:r>
        <w:t>б) одновременное наличие у банка не менее 2 кредитных рейтингов не ниже уровня "BBB-(RU)" по национальной рейтинговой шкале для Российской Федерации, присвоенного кредитным рейтинговым агентством Аналитическое Кредитное Рейтинговое Агентство (Акционерное общество), или не ниже уровня "</w:t>
      </w:r>
      <w:proofErr w:type="spellStart"/>
      <w:r>
        <w:t>ruBBB</w:t>
      </w:r>
      <w:proofErr w:type="spellEnd"/>
      <w:r>
        <w:t>-" по национальной рейтинговой шкале для Российской Федерации, присвоенного кредитным рейтинговым агентством Акционерное общество "Рейтинговое Агентство "Эксперт РА", или не ниже уровня "BBB-.ru</w:t>
      </w:r>
      <w:proofErr w:type="gramEnd"/>
      <w:r>
        <w:t>" по национальной рейтинговой шкале для Российской Федерации, присвоенного кредитным рейтинговым агентством общество с ограниченной ответственностью "Национальные Кредитные Рейтинги", или не ниже уровня "BBB-|</w:t>
      </w:r>
      <w:proofErr w:type="spellStart"/>
      <w:r>
        <w:t>ru</w:t>
      </w:r>
      <w:proofErr w:type="spellEnd"/>
      <w:r>
        <w:t>|" по национальной рейтинговой шкале для Российской Федерации, присвоенного кредитным рейтинговым агентством общество с ограниченной ответственностью "Национальное Рейтинговое Агентство".</w:t>
      </w:r>
    </w:p>
    <w:p w:rsidR="001C3046" w:rsidRDefault="001C3046" w:rsidP="001C3046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15.05.2023 N 751)</w:t>
      </w:r>
    </w:p>
    <w:p w:rsidR="001C3046" w:rsidRDefault="001C3046" w:rsidP="001C3046">
      <w:pPr>
        <w:pStyle w:val="ConsPlusNormal"/>
        <w:ind w:firstLine="540"/>
        <w:jc w:val="both"/>
      </w:pPr>
      <w:r>
        <w:t>Для банков с кредитным рейтингом ниже чем "A-" и до "BBB-" включительно лимит суммы задолженности по всем договорам о предоставлении целевых кредитов застройщикам на строительство (создание) многоквартирных домов и (или) иных объектов недвижимости определяется в размере не более 20 процентов величины собственных средств (капитала) банка;</w:t>
      </w:r>
    </w:p>
    <w:p w:rsidR="001C3046" w:rsidRDefault="001C3046" w:rsidP="001C3046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24.03.2022 N 446)</w:t>
      </w:r>
    </w:p>
    <w:p w:rsidR="001C3046" w:rsidRDefault="001C3046" w:rsidP="001C304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16.05.2019 N 606)</w:t>
      </w:r>
    </w:p>
    <w:p w:rsidR="001C3046" w:rsidRDefault="001C3046" w:rsidP="001C3046">
      <w:pPr>
        <w:pStyle w:val="ConsPlusNormal"/>
        <w:ind w:firstLine="540"/>
        <w:jc w:val="both"/>
      </w:pPr>
      <w:r>
        <w:t xml:space="preserve">в) в отношении банка Советом директоров Центрального банка Российской Федерации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"О несостоятельности (банкротстве)" утвержден план участия Центрального банка Российской Федерации в осуществлении мер по предупреждению банкротства и принято решение о гарантировании Центральным банком Российской Федерации непрерывности деятельности такого банка;</w:t>
      </w:r>
    </w:p>
    <w:p w:rsidR="001C3046" w:rsidRDefault="001C3046" w:rsidP="001C3046">
      <w:pPr>
        <w:pStyle w:val="ConsPlusNormal"/>
        <w:ind w:firstLine="540"/>
        <w:jc w:val="both"/>
      </w:pPr>
      <w:proofErr w:type="gramStart"/>
      <w:r>
        <w:t>г) в отношении банка или в отношении лиц, под контролем либо значительным влиянием которых находится банк, действуют меры ограничительного характера, введенные иностранным государством, государственным объединением и (или) союзом и (или) государственным (межгосударственным) учреждением иностранного государства или государственного объединения и (или) союза.</w:t>
      </w:r>
      <w:proofErr w:type="gramEnd"/>
      <w:r>
        <w:t xml:space="preserve"> Указанные банки должны быть определены решением Правительства Российской Федерации, которое направляется в Центральный Банк Российской Федерации.</w:t>
      </w:r>
    </w:p>
    <w:p w:rsidR="001C3046" w:rsidRDefault="001C3046" w:rsidP="001C3046">
      <w:pPr>
        <w:pStyle w:val="ConsPlusNormal"/>
        <w:jc w:val="both"/>
      </w:pPr>
    </w:p>
    <w:p w:rsidR="001C3046" w:rsidRDefault="001C3046" w:rsidP="001C3046">
      <w:pPr>
        <w:pStyle w:val="ConsPlusNormal"/>
        <w:jc w:val="both"/>
      </w:pPr>
    </w:p>
    <w:p w:rsidR="001C3046" w:rsidRDefault="001C3046" w:rsidP="001C3046">
      <w:pPr>
        <w:pStyle w:val="ConsPlusNormal"/>
        <w:pBdr>
          <w:bottom w:val="single" w:sz="6" w:space="0" w:color="auto"/>
        </w:pBdr>
        <w:spacing w:after="100"/>
        <w:jc w:val="both"/>
        <w:rPr>
          <w:sz w:val="2"/>
          <w:szCs w:val="2"/>
        </w:rPr>
      </w:pPr>
    </w:p>
    <w:p w:rsidR="00107ECC" w:rsidRDefault="00107ECC" w:rsidP="001C3046">
      <w:pPr>
        <w:spacing w:line="240" w:lineRule="auto"/>
      </w:pPr>
    </w:p>
    <w:sectPr w:rsidR="00107ECC" w:rsidSect="001C3046">
      <w:headerReference w:type="default" r:id="rId2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046" w:rsidRDefault="001C3046" w:rsidP="001C3046">
      <w:pPr>
        <w:spacing w:after="0" w:line="240" w:lineRule="auto"/>
      </w:pPr>
      <w:r>
        <w:separator/>
      </w:r>
    </w:p>
  </w:endnote>
  <w:endnote w:type="continuationSeparator" w:id="0">
    <w:p w:rsidR="001C3046" w:rsidRDefault="001C3046" w:rsidP="001C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046" w:rsidRDefault="001C3046" w:rsidP="001C3046">
      <w:pPr>
        <w:spacing w:after="0" w:line="240" w:lineRule="auto"/>
      </w:pPr>
      <w:r>
        <w:separator/>
      </w:r>
    </w:p>
  </w:footnote>
  <w:footnote w:type="continuationSeparator" w:id="0">
    <w:p w:rsidR="001C3046" w:rsidRDefault="001C3046" w:rsidP="001C3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388145"/>
      <w:docPartObj>
        <w:docPartGallery w:val="Page Numbers (Top of Page)"/>
        <w:docPartUnique/>
      </w:docPartObj>
    </w:sdtPr>
    <w:sdtContent>
      <w:p w:rsidR="001C3046" w:rsidRDefault="001C30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C3046" w:rsidRDefault="001C30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46"/>
    <w:rsid w:val="00107ECC"/>
    <w:rsid w:val="001C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0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C30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C30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1C3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046"/>
  </w:style>
  <w:style w:type="paragraph" w:styleId="a5">
    <w:name w:val="footer"/>
    <w:basedOn w:val="a"/>
    <w:link w:val="a6"/>
    <w:uiPriority w:val="99"/>
    <w:unhideWhenUsed/>
    <w:rsid w:val="001C3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0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C30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C30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1C3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046"/>
  </w:style>
  <w:style w:type="paragraph" w:styleId="a5">
    <w:name w:val="footer"/>
    <w:basedOn w:val="a"/>
    <w:link w:val="a6"/>
    <w:uiPriority w:val="99"/>
    <w:unhideWhenUsed/>
    <w:rsid w:val="001C3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5053&amp;dst=100005" TargetMode="External"/><Relationship Id="rId13" Type="http://schemas.openxmlformats.org/officeDocument/2006/relationships/hyperlink" Target="https://login.consultant.ru/link/?req=doc&amp;base=LAW&amp;n=325053&amp;dst=100005" TargetMode="External"/><Relationship Id="rId18" Type="http://schemas.openxmlformats.org/officeDocument/2006/relationships/hyperlink" Target="https://login.consultant.ru/link/?req=doc&amp;base=LAW&amp;n=478598&amp;dst=1000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25053&amp;dst=100005" TargetMode="External"/><Relationship Id="rId7" Type="http://schemas.openxmlformats.org/officeDocument/2006/relationships/hyperlink" Target="https://login.consultant.ru/link/?req=doc&amp;base=LAW&amp;n=404848&amp;dst=100044" TargetMode="External"/><Relationship Id="rId12" Type="http://schemas.openxmlformats.org/officeDocument/2006/relationships/hyperlink" Target="https://login.consultant.ru/link/?req=doc&amp;base=LAW&amp;n=404848&amp;dst=100044" TargetMode="External"/><Relationship Id="rId17" Type="http://schemas.openxmlformats.org/officeDocument/2006/relationships/hyperlink" Target="https://login.consultant.ru/link/?req=doc&amp;base=LAW&amp;n=404848&amp;dst=100044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2762&amp;dst=100045" TargetMode="External"/><Relationship Id="rId20" Type="http://schemas.openxmlformats.org/officeDocument/2006/relationships/hyperlink" Target="https://login.consultant.ru/link/?req=doc&amp;base=LAW&amp;n=412648&amp;dst=100029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16017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54376&amp;dst=100041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54376&amp;dst=100041" TargetMode="External"/><Relationship Id="rId19" Type="http://schemas.openxmlformats.org/officeDocument/2006/relationships/hyperlink" Target="https://login.consultant.ru/link/?req=doc&amp;base=LAW&amp;n=454376&amp;dst=1000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2648&amp;dst=100027" TargetMode="External"/><Relationship Id="rId14" Type="http://schemas.openxmlformats.org/officeDocument/2006/relationships/hyperlink" Target="https://login.consultant.ru/link/?req=doc&amp;base=LAW&amp;n=412648&amp;dst=100027" TargetMode="External"/><Relationship Id="rId22" Type="http://schemas.openxmlformats.org/officeDocument/2006/relationships/hyperlink" Target="https://login.consultant.ru/link/?req=doc&amp;base=LAW&amp;n=483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Kurganov</dc:creator>
  <cp:lastModifiedBy>Kurganov</cp:lastModifiedBy>
  <cp:revision>1</cp:revision>
  <dcterms:created xsi:type="dcterms:W3CDTF">2024-09-04T07:51:00Z</dcterms:created>
  <dcterms:modified xsi:type="dcterms:W3CDTF">2024-09-04T07:52:00Z</dcterms:modified>
</cp:coreProperties>
</file>